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20"/>
        <w:rPr>
          <w:rFonts w:ascii="Times New Roman" w:hAnsi="Times New Roman"/>
        </w:rPr>
      </w:pPr>
    </w:p>
    <w:p>
      <w:pPr>
        <w:rPr>
          <w:rFonts w:ascii="Times New Roman" w:hAnsi="Times New Roman"/>
        </w:rPr>
      </w:pPr>
    </w:p>
    <w:p>
      <w:pPr>
        <w:pStyle w:val="4"/>
        <w:ind w:firstLine="420"/>
        <w:rPr>
          <w:rFonts w:ascii="Times New Roman" w:hAnsi="Times New Roman"/>
        </w:rPr>
      </w:pPr>
    </w:p>
    <w:p>
      <w:pPr>
        <w:spacing w:after="156" w:line="560" w:lineRule="exact"/>
        <w:jc w:val="center"/>
        <w:textAlignment w:val="baseline"/>
        <w:rPr>
          <w:rStyle w:val="10"/>
          <w:rFonts w:ascii="Times New Roman" w:hAnsi="Times New Roman" w:eastAsia="方正小标宋简体"/>
          <w:bCs/>
          <w:sz w:val="44"/>
          <w:szCs w:val="44"/>
        </w:rPr>
      </w:pPr>
      <w:r>
        <w:rPr>
          <w:rStyle w:val="10"/>
          <w:rFonts w:ascii="Times New Roman" w:hAnsi="Times New Roman" w:eastAsia="方正小标宋简体"/>
          <w:bCs/>
          <w:sz w:val="44"/>
          <w:szCs w:val="44"/>
        </w:rPr>
        <w:t>《</w:t>
      </w:r>
      <w:r>
        <w:rPr>
          <w:rStyle w:val="10"/>
          <w:rFonts w:hint="eastAsia" w:ascii="Times New Roman" w:hAnsi="Times New Roman" w:eastAsia="方正小标宋简体"/>
          <w:bCs/>
          <w:sz w:val="44"/>
          <w:szCs w:val="44"/>
        </w:rPr>
        <w:t>对外经济贸易大学金融专业硕士</w:t>
      </w:r>
      <w:r>
        <w:rPr>
          <w:rStyle w:val="10"/>
          <w:rFonts w:ascii="Times New Roman" w:hAnsi="Times New Roman" w:eastAsia="方正小标宋简体"/>
          <w:bCs/>
          <w:sz w:val="44"/>
          <w:szCs w:val="44"/>
        </w:rPr>
        <w:t>学位授权点建设</w:t>
      </w:r>
      <w:r>
        <w:rPr>
          <w:rStyle w:val="10"/>
          <w:rFonts w:hint="eastAsia" w:ascii="Times New Roman" w:hAnsi="Times New Roman" w:eastAsia="方正小标宋简体"/>
          <w:bCs/>
          <w:sz w:val="44"/>
          <w:szCs w:val="44"/>
          <w:lang w:val="en-US"/>
        </w:rPr>
        <w:t>2023</w:t>
      </w:r>
      <w:r>
        <w:rPr>
          <w:rStyle w:val="10"/>
          <w:rFonts w:ascii="Times New Roman" w:hAnsi="Times New Roman" w:eastAsia="方正小标宋简体"/>
          <w:bCs/>
          <w:sz w:val="44"/>
          <w:szCs w:val="44"/>
        </w:rPr>
        <w:t>年度报告》</w:t>
      </w:r>
    </w:p>
    <w:p>
      <w:pPr>
        <w:spacing w:after="156" w:line="560" w:lineRule="exact"/>
        <w:jc w:val="center"/>
        <w:textAlignment w:val="baseline"/>
        <w:rPr>
          <w:rStyle w:val="10"/>
          <w:rFonts w:ascii="Times New Roman" w:hAnsi="Times New Roman" w:eastAsia="方正小标宋简体"/>
          <w:bCs/>
          <w:sz w:val="44"/>
          <w:szCs w:val="44"/>
        </w:rPr>
      </w:pPr>
    </w:p>
    <w:p>
      <w:pPr>
        <w:snapToGrid w:val="0"/>
        <w:jc w:val="center"/>
        <w:textAlignment w:val="baseline"/>
        <w:rPr>
          <w:rStyle w:val="10"/>
          <w:rFonts w:ascii="Times New Roman" w:hAnsi="Times New Roman" w:eastAsia="宋体"/>
          <w:b/>
          <w:sz w:val="48"/>
          <w:szCs w:val="20"/>
        </w:rPr>
      </w:pPr>
    </w:p>
    <w:p>
      <w:pPr>
        <w:pStyle w:val="4"/>
        <w:ind w:firstLine="964"/>
        <w:rPr>
          <w:rStyle w:val="10"/>
          <w:rFonts w:ascii="Times New Roman" w:hAnsi="Times New Roman" w:eastAsia="宋体"/>
          <w:b/>
          <w:sz w:val="48"/>
          <w:szCs w:val="20"/>
        </w:rPr>
      </w:pPr>
    </w:p>
    <w:p>
      <w:pPr>
        <w:rPr>
          <w:rFonts w:ascii="Times New Roman" w:hAnsi="Times New Roman"/>
        </w:rPr>
      </w:pPr>
    </w:p>
    <w:p>
      <w:pPr>
        <w:pStyle w:val="4"/>
        <w:ind w:firstLine="420"/>
        <w:rPr>
          <w:rFonts w:ascii="Times New Roman" w:hAnsi="Times New Roman"/>
        </w:rPr>
      </w:pPr>
    </w:p>
    <w:p>
      <w:pPr>
        <w:snapToGrid w:val="0"/>
        <w:spacing w:line="300" w:lineRule="auto"/>
        <w:jc w:val="center"/>
        <w:textAlignment w:val="baseline"/>
        <w:rPr>
          <w:rStyle w:val="10"/>
          <w:rFonts w:ascii="Times New Roman" w:hAnsi="Times New Roman" w:eastAsia="仿宋"/>
          <w:b/>
          <w:szCs w:val="32"/>
        </w:rPr>
      </w:pPr>
    </w:p>
    <w:tbl>
      <w:tblPr>
        <w:tblStyle w:val="7"/>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snapToGrid w:val="0"/>
              <w:spacing w:line="240" w:lineRule="atLeast"/>
              <w:jc w:val="center"/>
              <w:textAlignment w:val="baseline"/>
              <w:rPr>
                <w:rStyle w:val="10"/>
                <w:rFonts w:ascii="Times New Roman" w:hAnsi="Times New Roman" w:eastAsia="仿宋"/>
                <w:b/>
                <w:spacing w:val="-10"/>
                <w:szCs w:val="32"/>
              </w:rPr>
            </w:pPr>
            <w:r>
              <w:rPr>
                <w:rStyle w:val="10"/>
                <w:rFonts w:ascii="Times New Roman" w:hAnsi="Times New Roman" w:eastAsia="仿宋"/>
                <w:b/>
                <w:spacing w:val="-10"/>
                <w:szCs w:val="32"/>
              </w:rPr>
              <w:t>学位授予单位</w:t>
            </w:r>
          </w:p>
        </w:tc>
        <w:tc>
          <w:tcPr>
            <w:tcW w:w="3977" w:type="dxa"/>
            <w:tcBorders>
              <w:top w:val="nil"/>
              <w:left w:val="single" w:color="000000" w:sz="4" w:space="0"/>
              <w:bottom w:val="single" w:color="000000" w:sz="4" w:space="0"/>
              <w:right w:val="nil"/>
            </w:tcBorders>
            <w:vAlign w:val="center"/>
          </w:tcPr>
          <w:p>
            <w:pPr>
              <w:snapToGrid w:val="0"/>
              <w:spacing w:line="300" w:lineRule="auto"/>
              <w:textAlignment w:val="baseline"/>
              <w:rPr>
                <w:rStyle w:val="10"/>
                <w:rFonts w:ascii="Times New Roman" w:hAnsi="Times New Roman" w:eastAsia="仿宋"/>
                <w:b/>
                <w:spacing w:val="-10"/>
                <w:szCs w:val="32"/>
              </w:rPr>
            </w:pPr>
            <w:r>
              <w:rPr>
                <w:rStyle w:val="10"/>
                <w:rFonts w:ascii="Times New Roman" w:hAnsi="Times New Roman" w:eastAsia="仿宋"/>
                <w:b/>
                <w:spacing w:val="-10"/>
                <w:szCs w:val="32"/>
              </w:rPr>
              <w:t>名称：对外经济贸易大学</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single" w:color="000000" w:sz="4" w:space="0"/>
              <w:right w:val="single" w:color="000000" w:sz="4" w:space="0"/>
            </w:tcBorders>
            <w:vAlign w:val="center"/>
          </w:tcPr>
          <w:p>
            <w:pPr>
              <w:snapToGrid w:val="0"/>
              <w:spacing w:line="300" w:lineRule="auto"/>
              <w:jc w:val="center"/>
              <w:textAlignment w:val="baseline"/>
              <w:rPr>
                <w:rStyle w:val="10"/>
                <w:rFonts w:ascii="Times New Roman" w:hAnsi="Times New Roman" w:eastAsia="仿宋"/>
                <w:b/>
                <w:spacing w:val="-10"/>
                <w:szCs w:val="32"/>
              </w:rPr>
            </w:pPr>
          </w:p>
        </w:tc>
        <w:tc>
          <w:tcPr>
            <w:tcW w:w="3977" w:type="dxa"/>
            <w:tcBorders>
              <w:top w:val="single" w:color="000000" w:sz="4" w:space="0"/>
              <w:left w:val="single" w:color="000000" w:sz="4" w:space="0"/>
              <w:bottom w:val="single" w:color="000000" w:sz="4" w:space="0"/>
              <w:right w:val="nil"/>
            </w:tcBorders>
            <w:vAlign w:val="center"/>
          </w:tcPr>
          <w:p>
            <w:pPr>
              <w:snapToGrid w:val="0"/>
              <w:spacing w:line="300" w:lineRule="auto"/>
              <w:textAlignment w:val="baseline"/>
              <w:rPr>
                <w:rStyle w:val="10"/>
                <w:rFonts w:ascii="Times New Roman" w:hAnsi="Times New Roman" w:eastAsia="仿宋"/>
                <w:b/>
                <w:spacing w:val="-10"/>
                <w:szCs w:val="32"/>
              </w:rPr>
            </w:pPr>
            <w:r>
              <w:rPr>
                <w:rStyle w:val="10"/>
                <w:rFonts w:ascii="Times New Roman" w:hAnsi="Times New Roman" w:eastAsia="仿宋"/>
                <w:b/>
                <w:spacing w:val="-10"/>
                <w:szCs w:val="32"/>
              </w:rPr>
              <w:t>代码：10036</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single" w:color="000000" w:sz="4" w:space="0"/>
              <w:left w:val="nil"/>
              <w:right w:val="single" w:color="000000" w:sz="4" w:space="0"/>
            </w:tcBorders>
            <w:vAlign w:val="center"/>
          </w:tcPr>
          <w:p>
            <w:pPr>
              <w:snapToGrid w:val="0"/>
              <w:spacing w:line="300" w:lineRule="auto"/>
              <w:jc w:val="center"/>
              <w:textAlignment w:val="baseline"/>
              <w:rPr>
                <w:rStyle w:val="10"/>
                <w:rFonts w:ascii="Times New Roman" w:hAnsi="Times New Roman" w:eastAsia="仿宋"/>
                <w:b/>
                <w:spacing w:val="-10"/>
                <w:szCs w:val="32"/>
              </w:rPr>
            </w:pPr>
            <w:r>
              <w:rPr>
                <w:rStyle w:val="10"/>
                <w:rFonts w:ascii="Times New Roman" w:hAnsi="Times New Roman" w:eastAsia="仿宋"/>
                <w:b/>
                <w:spacing w:val="-10"/>
                <w:szCs w:val="32"/>
              </w:rPr>
              <w:t>授权学科</w:t>
            </w:r>
            <w:r>
              <w:rPr>
                <w:rStyle w:val="10"/>
                <w:rFonts w:hint="eastAsia" w:ascii="Times New Roman" w:hAnsi="Times New Roman" w:eastAsia="仿宋"/>
                <w:b/>
                <w:spacing w:val="-10"/>
                <w:szCs w:val="32"/>
              </w:rPr>
              <w:t>/专业学位</w:t>
            </w:r>
          </w:p>
        </w:tc>
        <w:tc>
          <w:tcPr>
            <w:tcW w:w="3977" w:type="dxa"/>
            <w:tcBorders>
              <w:top w:val="single" w:color="000000" w:sz="4" w:space="0"/>
              <w:left w:val="single" w:color="000000" w:sz="4" w:space="0"/>
              <w:bottom w:val="single" w:color="000000" w:sz="4" w:space="0"/>
              <w:right w:val="nil"/>
            </w:tcBorders>
            <w:vAlign w:val="center"/>
          </w:tcPr>
          <w:p>
            <w:pPr>
              <w:snapToGrid w:val="0"/>
              <w:spacing w:line="300" w:lineRule="auto"/>
              <w:textAlignment w:val="baseline"/>
              <w:rPr>
                <w:rStyle w:val="10"/>
                <w:rFonts w:hint="default" w:ascii="Times New Roman" w:hAnsi="Times New Roman" w:eastAsia="仿宋"/>
                <w:b/>
                <w:spacing w:val="-10"/>
                <w:szCs w:val="32"/>
                <w:lang w:val="en-US"/>
              </w:rPr>
            </w:pPr>
            <w:r>
              <w:rPr>
                <w:rStyle w:val="10"/>
                <w:rFonts w:ascii="Times New Roman" w:hAnsi="Times New Roman" w:eastAsia="仿宋"/>
                <w:b/>
                <w:spacing w:val="-10"/>
                <w:szCs w:val="32"/>
              </w:rPr>
              <w:t>名称：</w:t>
            </w:r>
            <w:r>
              <w:rPr>
                <w:rStyle w:val="10"/>
                <w:rFonts w:hint="eastAsia" w:ascii="Times New Roman" w:hAnsi="Times New Roman" w:eastAsia="仿宋"/>
                <w:b/>
                <w:spacing w:val="-10"/>
                <w:szCs w:val="32"/>
                <w:lang w:val="en-US"/>
              </w:rPr>
              <w:t>金融</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right w:val="single" w:color="000000" w:sz="4" w:space="0"/>
            </w:tcBorders>
            <w:vAlign w:val="center"/>
          </w:tcPr>
          <w:p>
            <w:pPr>
              <w:snapToGrid w:val="0"/>
              <w:spacing w:line="300" w:lineRule="auto"/>
              <w:jc w:val="center"/>
              <w:textAlignment w:val="baseline"/>
              <w:rPr>
                <w:rStyle w:val="10"/>
                <w:rFonts w:ascii="Times New Roman" w:hAnsi="Times New Roman" w:eastAsia="仿宋"/>
                <w:b/>
                <w:spacing w:val="-10"/>
                <w:szCs w:val="32"/>
              </w:rPr>
            </w:pPr>
          </w:p>
        </w:tc>
        <w:tc>
          <w:tcPr>
            <w:tcW w:w="3977" w:type="dxa"/>
            <w:tcBorders>
              <w:top w:val="single" w:color="000000" w:sz="4" w:space="0"/>
              <w:left w:val="single" w:color="000000" w:sz="4" w:space="0"/>
              <w:bottom w:val="single" w:color="000000" w:sz="4" w:space="0"/>
              <w:right w:val="nil"/>
            </w:tcBorders>
            <w:vAlign w:val="center"/>
          </w:tcPr>
          <w:p>
            <w:pPr>
              <w:snapToGrid w:val="0"/>
              <w:spacing w:line="300" w:lineRule="auto"/>
              <w:textAlignment w:val="baseline"/>
              <w:rPr>
                <w:rStyle w:val="10"/>
                <w:rFonts w:hint="default" w:ascii="Times New Roman" w:hAnsi="Times New Roman" w:eastAsia="仿宋"/>
                <w:b/>
                <w:spacing w:val="-10"/>
                <w:szCs w:val="32"/>
                <w:lang w:val="en-US"/>
              </w:rPr>
            </w:pPr>
            <w:r>
              <w:rPr>
                <w:rStyle w:val="10"/>
                <w:rFonts w:ascii="Times New Roman" w:hAnsi="Times New Roman" w:eastAsia="仿宋"/>
                <w:b/>
                <w:spacing w:val="-10"/>
                <w:szCs w:val="32"/>
              </w:rPr>
              <w:t>代码：</w:t>
            </w:r>
            <w:r>
              <w:rPr>
                <w:rStyle w:val="10"/>
                <w:rFonts w:hint="eastAsia" w:ascii="Times New Roman" w:hAnsi="Times New Roman" w:eastAsia="仿宋"/>
                <w:b/>
                <w:spacing w:val="-10"/>
                <w:szCs w:val="32"/>
                <w:lang w:val="en-US"/>
              </w:rPr>
              <w:t>025100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right w:val="single" w:color="000000" w:sz="4" w:space="0"/>
            </w:tcBorders>
            <w:vAlign w:val="center"/>
          </w:tcPr>
          <w:p>
            <w:pPr>
              <w:snapToGrid w:val="0"/>
              <w:spacing w:line="300" w:lineRule="auto"/>
              <w:jc w:val="center"/>
              <w:textAlignment w:val="baseline"/>
              <w:rPr>
                <w:rStyle w:val="10"/>
                <w:rFonts w:ascii="Times New Roman" w:hAnsi="Times New Roman" w:eastAsia="仿宋"/>
                <w:b/>
                <w:spacing w:val="-10"/>
                <w:szCs w:val="32"/>
              </w:rPr>
            </w:pPr>
          </w:p>
        </w:tc>
        <w:tc>
          <w:tcPr>
            <w:tcW w:w="3977" w:type="dxa"/>
            <w:tcBorders>
              <w:top w:val="single" w:color="000000" w:sz="4" w:space="0"/>
              <w:left w:val="single" w:color="000000" w:sz="4" w:space="0"/>
              <w:bottom w:val="nil"/>
              <w:right w:val="nil"/>
            </w:tcBorders>
            <w:vAlign w:val="center"/>
          </w:tcPr>
          <w:p>
            <w:pPr>
              <w:snapToGrid w:val="0"/>
              <w:spacing w:line="300" w:lineRule="auto"/>
              <w:textAlignment w:val="baseline"/>
              <w:rPr>
                <w:rStyle w:val="10"/>
                <w:rFonts w:ascii="Times New Roman" w:hAnsi="Times New Roman" w:eastAsia="仿宋"/>
                <w:b/>
                <w:spacing w:val="-10"/>
                <w:szCs w:val="32"/>
              </w:rPr>
            </w:pPr>
            <w:r>
              <w:rPr>
                <w:rStyle w:val="10"/>
                <w:rFonts w:ascii="Times New Roman" w:hAnsi="Times New Roman" w:eastAsia="仿宋"/>
                <w:b/>
                <w:spacing w:val="-10"/>
                <w:szCs w:val="32"/>
              </w:rPr>
              <w:t xml:space="preserve">类别：  </w:t>
            </w:r>
            <w:r>
              <w:rPr>
                <w:rStyle w:val="10"/>
                <w:rFonts w:ascii="Times New Roman" w:hAnsi="Times New Roman" w:eastAsia="仿宋"/>
                <w:b/>
                <w:spacing w:val="-10"/>
                <w:szCs w:val="32"/>
              </w:rPr>
              <w:sym w:font="Wingdings 2" w:char="00A3"/>
            </w:r>
            <w:r>
              <w:rPr>
                <w:rStyle w:val="10"/>
                <w:rFonts w:ascii="Times New Roman" w:hAnsi="Times New Roman" w:eastAsia="仿宋"/>
                <w:b/>
                <w:spacing w:val="-10"/>
                <w:szCs w:val="32"/>
              </w:rPr>
              <w:t xml:space="preserve">博士     </w:t>
            </w:r>
            <w:r>
              <w:rPr>
                <w:rStyle w:val="10"/>
                <w:rFonts w:ascii="Times New Roman" w:hAnsi="Times New Roman" w:eastAsia="仿宋"/>
                <w:b/>
                <w:spacing w:val="-10"/>
                <w:szCs w:val="32"/>
              </w:rPr>
              <w:sym w:font="Wingdings 2" w:char="0052"/>
            </w:r>
            <w:r>
              <w:rPr>
                <w:rStyle w:val="10"/>
                <w:rFonts w:ascii="Times New Roman" w:hAnsi="Times New Roman" w:eastAsia="仿宋"/>
                <w:b/>
                <w:spacing w:val="-10"/>
                <w:szCs w:val="32"/>
              </w:rPr>
              <w:t>硕士</w:t>
            </w:r>
          </w:p>
        </w:tc>
      </w:tr>
    </w:tbl>
    <w:p>
      <w:pPr>
        <w:snapToGrid w:val="0"/>
        <w:spacing w:line="300" w:lineRule="auto"/>
        <w:jc w:val="center"/>
        <w:textAlignment w:val="baseline"/>
        <w:rPr>
          <w:rStyle w:val="10"/>
          <w:rFonts w:ascii="Times New Roman" w:hAnsi="Times New Roman" w:eastAsia="宋体"/>
          <w:b/>
          <w:sz w:val="48"/>
          <w:szCs w:val="20"/>
        </w:rPr>
      </w:pPr>
    </w:p>
    <w:p>
      <w:pPr>
        <w:rPr>
          <w:rFonts w:ascii="Times New Roman" w:hAnsi="Times New Roman"/>
        </w:rPr>
      </w:pPr>
    </w:p>
    <w:p>
      <w:pPr>
        <w:pStyle w:val="4"/>
        <w:ind w:firstLine="420"/>
        <w:rPr>
          <w:rFonts w:ascii="Times New Roman" w:hAnsi="Times New Roman"/>
        </w:rPr>
      </w:pPr>
    </w:p>
    <w:p>
      <w:pPr>
        <w:rPr>
          <w:rFonts w:ascii="Times New Roman" w:hAnsi="Times New Roman"/>
        </w:rPr>
      </w:pPr>
    </w:p>
    <w:p>
      <w:pPr>
        <w:spacing w:line="560" w:lineRule="exact"/>
        <w:jc w:val="center"/>
        <w:textAlignment w:val="baseline"/>
        <w:rPr>
          <w:rStyle w:val="10"/>
          <w:rFonts w:ascii="Times New Roman" w:hAnsi="Times New Roman" w:eastAsia="黑体"/>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Style w:val="10"/>
          <w:rFonts w:ascii="Times New Roman" w:hAnsi="Times New Roman" w:eastAsia="楷体_GB2312"/>
          <w:b/>
          <w:szCs w:val="32"/>
        </w:rPr>
        <w:t>202</w:t>
      </w:r>
      <w:r>
        <w:rPr>
          <w:rStyle w:val="10"/>
          <w:rFonts w:hint="eastAsia" w:ascii="Times New Roman" w:hAnsi="Times New Roman" w:eastAsia="楷体_GB2312"/>
          <w:b/>
          <w:szCs w:val="32"/>
          <w:lang w:val="en-US"/>
        </w:rPr>
        <w:t>4</w:t>
      </w:r>
      <w:r>
        <w:rPr>
          <w:rStyle w:val="10"/>
          <w:rFonts w:ascii="Times New Roman" w:hAnsi="Times New Roman" w:eastAsia="楷体_GB2312"/>
          <w:b/>
          <w:szCs w:val="32"/>
        </w:rPr>
        <w:t>年</w:t>
      </w:r>
      <w:r>
        <w:rPr>
          <w:rStyle w:val="10"/>
          <w:rFonts w:hint="eastAsia" w:ascii="Times New Roman" w:hAnsi="Times New Roman" w:eastAsia="楷体_GB2312"/>
          <w:b/>
          <w:szCs w:val="32"/>
          <w:lang w:val="en-US"/>
        </w:rPr>
        <w:t>3</w:t>
      </w:r>
      <w:r>
        <w:rPr>
          <w:rStyle w:val="10"/>
          <w:rFonts w:ascii="Times New Roman" w:hAnsi="Times New Roman" w:eastAsia="楷体_GB2312"/>
          <w:b/>
          <w:szCs w:val="32"/>
        </w:rPr>
        <w:t>月</w:t>
      </w:r>
      <w:r>
        <w:rPr>
          <w:rStyle w:val="10"/>
          <w:rFonts w:hint="eastAsia" w:ascii="Times New Roman" w:hAnsi="Times New Roman" w:eastAsia="楷体_GB2312"/>
          <w:b/>
          <w:szCs w:val="32"/>
          <w:lang w:val="en-US"/>
        </w:rPr>
        <w:t>29</w:t>
      </w:r>
      <w:r>
        <w:rPr>
          <w:rStyle w:val="10"/>
          <w:rFonts w:ascii="Times New Roman" w:hAnsi="Times New Roman" w:eastAsia="楷体_GB2312"/>
          <w:b/>
          <w:szCs w:val="32"/>
        </w:rPr>
        <w:t>日</w:t>
      </w:r>
    </w:p>
    <w:p>
      <w:pPr>
        <w:pStyle w:val="2"/>
        <w:keepNext/>
        <w:keepLines/>
        <w:pageBreakBefore w:val="0"/>
        <w:widowControl/>
        <w:kinsoku/>
        <w:wordWrap/>
        <w:overflowPunct/>
        <w:topLinePunct w:val="0"/>
        <w:autoSpaceDE/>
        <w:autoSpaceDN/>
        <w:bidi w:val="0"/>
        <w:adjustRightInd w:val="0"/>
        <w:snapToGrid w:val="0"/>
        <w:spacing w:before="0" w:line="360" w:lineRule="auto"/>
        <w:ind w:left="0" w:firstLine="602" w:firstLineChars="200"/>
        <w:textAlignment w:val="auto"/>
        <w:rPr>
          <w:rFonts w:hint="eastAsia" w:ascii="仿宋" w:hAnsi="仿宋" w:eastAsia="仿宋" w:cs="仿宋"/>
          <w:b/>
          <w:bCs/>
          <w:color w:val="auto"/>
          <w:sz w:val="30"/>
          <w:szCs w:val="30"/>
          <w:highlight w:val="none"/>
        </w:rPr>
      </w:pPr>
      <w:r>
        <w:rPr>
          <w:rStyle w:val="10"/>
          <w:rFonts w:hint="eastAsia" w:ascii="仿宋" w:hAnsi="仿宋" w:eastAsia="仿宋" w:cs="仿宋"/>
          <w:b/>
          <w:bCs/>
          <w:color w:val="auto"/>
          <w:sz w:val="30"/>
          <w:szCs w:val="30"/>
          <w:highlight w:val="none"/>
        </w:rPr>
        <w:t>一、学位授权点建设情况</w:t>
      </w:r>
    </w:p>
    <w:p>
      <w:pPr>
        <w:pStyle w:val="3"/>
        <w:keepNext/>
        <w:keepLines/>
        <w:pageBreakBefore w:val="0"/>
        <w:widowControl/>
        <w:kinsoku/>
        <w:wordWrap/>
        <w:overflowPunct/>
        <w:topLinePunct w:val="0"/>
        <w:autoSpaceDE/>
        <w:autoSpaceDN/>
        <w:bidi w:val="0"/>
        <w:adjustRightInd w:val="0"/>
        <w:snapToGrid w:val="0"/>
        <w:spacing w:before="157" w:beforeLines="50" w:line="360" w:lineRule="auto"/>
        <w:ind w:left="0" w:firstLine="562" w:firstLineChars="200"/>
        <w:textAlignment w:val="auto"/>
        <w:rPr>
          <w:rFonts w:hint="eastAsia"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（一）总体概况</w:t>
      </w:r>
    </w:p>
    <w:p>
      <w:pPr>
        <w:pageBreakBefore w:val="0"/>
        <w:kinsoku/>
        <w:wordWrap/>
        <w:overflowPunct/>
        <w:topLinePunct w:val="0"/>
        <w:autoSpaceDE/>
        <w:autoSpaceDN/>
        <w:bidi w:val="0"/>
        <w:adjustRightInd w:val="0"/>
        <w:snapToGrid w:val="0"/>
        <w:spacing w:line="360" w:lineRule="auto"/>
        <w:ind w:left="0" w:firstLine="560" w:firstLineChars="200"/>
        <w:jc w:val="both"/>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本学位授权点由</w:t>
      </w:r>
      <w:r>
        <w:rPr>
          <w:rFonts w:hint="eastAsia" w:ascii="仿宋" w:hAnsi="仿宋" w:eastAsia="仿宋" w:cs="仿宋"/>
          <w:sz w:val="28"/>
          <w:szCs w:val="28"/>
          <w:highlight w:val="none"/>
          <w:lang w:eastAsia="zh-CN" w:bidi="ar"/>
        </w:rPr>
        <w:t>中国</w:t>
      </w:r>
      <w:r>
        <w:rPr>
          <w:rFonts w:hint="eastAsia" w:ascii="仿宋" w:hAnsi="仿宋" w:eastAsia="仿宋" w:cs="仿宋"/>
          <w:sz w:val="28"/>
          <w:szCs w:val="28"/>
          <w:highlight w:val="none"/>
          <w:lang w:bidi="ar"/>
        </w:rPr>
        <w:t>金融学院和国际经济贸易学院共同建设，依托应用经济学一流学科建设平台和深厚的国际化底蕴，基于两院在银行业务和国际金融方向的传统优势及学科发展新态势，布局银行管理、资本市场、金融工程、量化投资、国际金融等多个方向。</w:t>
      </w:r>
    </w:p>
    <w:p>
      <w:pPr>
        <w:pageBreakBefore w:val="0"/>
        <w:kinsoku/>
        <w:wordWrap/>
        <w:overflowPunct/>
        <w:topLinePunct w:val="0"/>
        <w:autoSpaceDE/>
        <w:autoSpaceDN/>
        <w:bidi w:val="0"/>
        <w:adjustRightInd w:val="0"/>
        <w:snapToGrid w:val="0"/>
        <w:spacing w:line="360" w:lineRule="auto"/>
        <w:ind w:left="0" w:firstLine="560" w:firstLineChars="200"/>
        <w:jc w:val="both"/>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本学位授权点立足服务我国打造金融核心竞争力的要求，致力培养具备坚实经</w:t>
      </w:r>
      <w:bookmarkStart w:id="3" w:name="_GoBack"/>
      <w:bookmarkEnd w:id="3"/>
      <w:r>
        <w:rPr>
          <w:rFonts w:hint="eastAsia" w:ascii="仿宋" w:hAnsi="仿宋" w:eastAsia="仿宋" w:cs="仿宋"/>
          <w:sz w:val="28"/>
          <w:szCs w:val="28"/>
          <w:highlight w:val="none"/>
          <w:lang w:bidi="ar"/>
        </w:rPr>
        <w:t>济金融理论基础、了解国际前沿和中国实践、适应国际化环境和国家发展战略要求的高层次应用型金融人才。</w:t>
      </w:r>
    </w:p>
    <w:p>
      <w:pPr>
        <w:pageBreakBefore w:val="0"/>
        <w:kinsoku/>
        <w:wordWrap/>
        <w:overflowPunct/>
        <w:topLinePunct w:val="0"/>
        <w:autoSpaceDE/>
        <w:autoSpaceDN/>
        <w:bidi w:val="0"/>
        <w:adjustRightInd w:val="0"/>
        <w:snapToGrid w:val="0"/>
        <w:spacing w:line="360" w:lineRule="auto"/>
        <w:ind w:left="0" w:firstLine="560" w:firstLineChars="200"/>
        <w:jc w:val="both"/>
        <w:rPr>
          <w:rStyle w:val="10"/>
          <w:rFonts w:hint="eastAsia" w:ascii="仿宋" w:hAnsi="仿宋" w:eastAsia="仿宋" w:cs="仿宋"/>
          <w:sz w:val="28"/>
          <w:szCs w:val="28"/>
          <w:highlight w:val="none"/>
        </w:rPr>
      </w:pPr>
      <w:r>
        <w:rPr>
          <w:rFonts w:hint="eastAsia" w:ascii="仿宋" w:hAnsi="仿宋" w:eastAsia="仿宋"/>
          <w:sz w:val="28"/>
          <w:szCs w:val="28"/>
          <w:highlight w:val="none"/>
        </w:rPr>
        <w:t>截止2023年底，本学位授权点在读学生</w:t>
      </w:r>
      <w:r>
        <w:rPr>
          <w:rFonts w:hint="eastAsia" w:ascii="仿宋" w:hAnsi="仿宋" w:eastAsia="仿宋"/>
          <w:sz w:val="28"/>
          <w:szCs w:val="28"/>
          <w:highlight w:val="none"/>
          <w:lang w:val="en-US" w:eastAsia="zh-CN"/>
        </w:rPr>
        <w:t>962</w:t>
      </w:r>
      <w:r>
        <w:rPr>
          <w:rFonts w:hint="eastAsia" w:ascii="仿宋" w:hAnsi="仿宋" w:eastAsia="仿宋"/>
          <w:sz w:val="28"/>
          <w:szCs w:val="28"/>
          <w:highlight w:val="none"/>
        </w:rPr>
        <w:t>人，当年授予学位</w:t>
      </w:r>
      <w:r>
        <w:rPr>
          <w:rFonts w:hint="eastAsia" w:ascii="仿宋" w:hAnsi="仿宋" w:eastAsia="仿宋"/>
          <w:sz w:val="28"/>
          <w:szCs w:val="28"/>
          <w:highlight w:val="none"/>
          <w:lang w:val="en-US" w:eastAsia="zh-CN"/>
        </w:rPr>
        <w:t>437</w:t>
      </w:r>
      <w:r>
        <w:rPr>
          <w:rFonts w:hint="eastAsia" w:ascii="仿宋" w:hAnsi="仿宋" w:eastAsia="仿宋"/>
          <w:sz w:val="28"/>
          <w:szCs w:val="28"/>
          <w:highlight w:val="none"/>
        </w:rPr>
        <w:t>人，毕业生就业率达到9</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%；专职教师174人、校外导师</w:t>
      </w:r>
      <w:r>
        <w:rPr>
          <w:rFonts w:hint="eastAsia" w:ascii="仿宋" w:hAnsi="仿宋" w:eastAsia="仿宋"/>
          <w:sz w:val="28"/>
          <w:szCs w:val="28"/>
          <w:highlight w:val="none"/>
          <w:lang w:val="en-US" w:eastAsia="zh-CN"/>
        </w:rPr>
        <w:t>225</w:t>
      </w:r>
      <w:r>
        <w:rPr>
          <w:rFonts w:hint="eastAsia" w:ascii="仿宋" w:hAnsi="仿宋" w:eastAsia="仿宋"/>
          <w:sz w:val="28"/>
          <w:szCs w:val="28"/>
          <w:highlight w:val="none"/>
        </w:rPr>
        <w:t>人，当年新增专职教师5人、校外导师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3人。师资力量雄厚，职称、学历、年龄和学缘结构合理，在教学和科研上可持续发展潜力强。</w:t>
      </w:r>
      <w:r>
        <w:rPr>
          <w:rFonts w:hint="eastAsia" w:ascii="仿宋" w:hAnsi="仿宋" w:eastAsia="仿宋"/>
          <w:sz w:val="28"/>
          <w:szCs w:val="28"/>
          <w:highlight w:val="none"/>
          <w:lang w:val="en-US" w:eastAsia="zh-CN"/>
        </w:rPr>
        <w:t>2023年开设课程总门数97门，其中</w:t>
      </w:r>
      <w:r>
        <w:rPr>
          <w:rFonts w:hint="eastAsia" w:ascii="仿宋" w:hAnsi="仿宋" w:eastAsia="仿宋"/>
          <w:sz w:val="28"/>
          <w:szCs w:val="28"/>
          <w:highlight w:val="none"/>
        </w:rPr>
        <w:t>业界专家全程授课门数</w:t>
      </w:r>
      <w:r>
        <w:rPr>
          <w:rFonts w:hint="eastAsia" w:ascii="仿宋" w:hAnsi="仿宋" w:eastAsia="仿宋"/>
          <w:sz w:val="28"/>
          <w:szCs w:val="28"/>
          <w:highlight w:val="none"/>
          <w:lang w:val="en-US" w:eastAsia="zh-CN"/>
        </w:rPr>
        <w:t>7门，业界专家参与授课门数6门。</w:t>
      </w:r>
      <w:r>
        <w:rPr>
          <w:rFonts w:hint="eastAsia" w:ascii="仿宋" w:hAnsi="仿宋" w:eastAsia="仿宋"/>
          <w:sz w:val="28"/>
          <w:szCs w:val="28"/>
          <w:highlight w:val="none"/>
        </w:rPr>
        <w:t>获得国家“百千万人才工程”国家级人选、国家“突出贡献中青年专家”、国家“万人计划”教学名师、教育部新世纪优秀人才支持计划学者、鸿儒金融教育基金会“金融学杰出教师奖”以及各类北京市优秀教师等荣誉称号20多人。</w:t>
      </w:r>
      <w:r>
        <w:rPr>
          <w:rFonts w:hint="eastAsia" w:ascii="仿宋" w:hAnsi="仿宋" w:eastAsia="仿宋" w:cs="仿宋"/>
          <w:sz w:val="28"/>
          <w:szCs w:val="28"/>
          <w:highlight w:val="none"/>
          <w:lang w:bidi="ar"/>
        </w:rPr>
        <w:t>本学位授权点金融专硕项目已形成“强调实践、产教结合、植根本土、面向世界”的特色，在我国同类项目中历史最长、规模领先，社会认可度高。</w:t>
      </w:r>
    </w:p>
    <w:p>
      <w:pPr>
        <w:pStyle w:val="3"/>
        <w:keepNext/>
        <w:keepLines/>
        <w:pageBreakBefore w:val="0"/>
        <w:widowControl/>
        <w:kinsoku/>
        <w:wordWrap/>
        <w:overflowPunct/>
        <w:topLinePunct w:val="0"/>
        <w:autoSpaceDE/>
        <w:autoSpaceDN/>
        <w:bidi w:val="0"/>
        <w:adjustRightInd w:val="0"/>
        <w:snapToGrid w:val="0"/>
        <w:spacing w:before="157" w:beforeLines="50" w:line="360" w:lineRule="auto"/>
        <w:ind w:left="0" w:firstLine="562" w:firstLineChars="200"/>
        <w:jc w:val="left"/>
        <w:textAlignment w:val="auto"/>
        <w:rPr>
          <w:rStyle w:val="10"/>
          <w:rFonts w:hint="eastAsia"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（二）人才培养</w:t>
      </w:r>
    </w:p>
    <w:p>
      <w:pPr>
        <w:pageBreakBefore w:val="0"/>
        <w:kinsoku/>
        <w:wordWrap/>
        <w:overflowPunct/>
        <w:topLinePunct w:val="0"/>
        <w:autoSpaceDE/>
        <w:autoSpaceDN/>
        <w:bidi w:val="0"/>
        <w:adjustRightInd w:val="0"/>
        <w:snapToGrid w:val="0"/>
        <w:spacing w:line="360" w:lineRule="auto"/>
        <w:ind w:left="0" w:firstLine="560" w:firstLineChars="200"/>
        <w:jc w:val="both"/>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val="en-US" w:eastAsia="zh-CN" w:bidi="ar"/>
        </w:rPr>
        <w:t>2023年，</w:t>
      </w:r>
      <w:r>
        <w:rPr>
          <w:rFonts w:hint="eastAsia" w:ascii="仿宋" w:hAnsi="仿宋" w:eastAsia="仿宋" w:cs="仿宋"/>
          <w:sz w:val="28"/>
          <w:szCs w:val="28"/>
          <w:highlight w:val="none"/>
          <w:lang w:bidi="ar"/>
        </w:rPr>
        <w:t>本学位</w:t>
      </w:r>
      <w:r>
        <w:rPr>
          <w:rFonts w:hint="eastAsia" w:ascii="仿宋" w:hAnsi="仿宋" w:eastAsia="仿宋" w:cs="仿宋"/>
          <w:sz w:val="28"/>
          <w:szCs w:val="28"/>
          <w:highlight w:val="none"/>
          <w:lang w:val="en-US" w:eastAsia="zh-CN" w:bidi="ar"/>
        </w:rPr>
        <w:t>在读</w:t>
      </w:r>
      <w:r>
        <w:rPr>
          <w:rFonts w:hint="eastAsia" w:ascii="仿宋" w:hAnsi="仿宋" w:eastAsia="仿宋" w:cs="仿宋"/>
          <w:sz w:val="28"/>
          <w:szCs w:val="28"/>
          <w:highlight w:val="none"/>
          <w:lang w:bidi="ar"/>
        </w:rPr>
        <w:t>硕士研究生</w:t>
      </w:r>
      <w:r>
        <w:rPr>
          <w:rFonts w:hint="eastAsia" w:ascii="仿宋" w:hAnsi="仿宋" w:eastAsia="仿宋" w:cs="仿宋"/>
          <w:sz w:val="28"/>
          <w:szCs w:val="28"/>
          <w:highlight w:val="none"/>
          <w:lang w:val="en-US" w:eastAsia="zh-CN" w:bidi="ar"/>
        </w:rPr>
        <w:t>962人（含</w:t>
      </w:r>
      <w:r>
        <w:rPr>
          <w:rFonts w:hint="eastAsia" w:ascii="仿宋" w:hAnsi="仿宋" w:eastAsia="仿宋" w:cs="仿宋"/>
          <w:sz w:val="28"/>
          <w:szCs w:val="28"/>
          <w:highlight w:val="none"/>
          <w:lang w:bidi="ar"/>
        </w:rPr>
        <w:t>202</w:t>
      </w:r>
      <w:r>
        <w:rPr>
          <w:rFonts w:hint="eastAsia" w:ascii="仿宋" w:hAnsi="仿宋" w:eastAsia="仿宋" w:cs="仿宋"/>
          <w:sz w:val="28"/>
          <w:szCs w:val="28"/>
          <w:highlight w:val="none"/>
          <w:lang w:val="en-US" w:eastAsia="zh-CN" w:bidi="ar"/>
        </w:rPr>
        <w:t>2</w:t>
      </w:r>
      <w:r>
        <w:rPr>
          <w:rFonts w:hint="eastAsia" w:ascii="仿宋" w:hAnsi="仿宋" w:eastAsia="仿宋" w:cs="仿宋"/>
          <w:sz w:val="28"/>
          <w:szCs w:val="28"/>
          <w:highlight w:val="none"/>
          <w:lang w:bidi="ar"/>
        </w:rPr>
        <w:t>级</w:t>
      </w:r>
      <w:r>
        <w:rPr>
          <w:rFonts w:hint="eastAsia" w:ascii="仿宋" w:hAnsi="仿宋" w:eastAsia="仿宋" w:cs="仿宋"/>
          <w:sz w:val="28"/>
          <w:szCs w:val="28"/>
          <w:highlight w:val="none"/>
          <w:lang w:val="en-US" w:eastAsia="zh-CN" w:bidi="ar"/>
        </w:rPr>
        <w:t>470</w:t>
      </w:r>
      <w:r>
        <w:rPr>
          <w:rFonts w:hint="eastAsia" w:ascii="仿宋" w:hAnsi="仿宋" w:eastAsia="仿宋" w:cs="仿宋"/>
          <w:sz w:val="28"/>
          <w:szCs w:val="28"/>
          <w:highlight w:val="none"/>
          <w:lang w:bidi="ar"/>
        </w:rPr>
        <w:t>人、202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级</w:t>
      </w:r>
      <w:r>
        <w:rPr>
          <w:rFonts w:hint="eastAsia" w:ascii="仿宋" w:hAnsi="仿宋" w:eastAsia="仿宋" w:cs="仿宋"/>
          <w:sz w:val="28"/>
          <w:szCs w:val="28"/>
          <w:highlight w:val="none"/>
          <w:lang w:val="en-US" w:eastAsia="zh-CN" w:bidi="ar"/>
        </w:rPr>
        <w:t>492</w:t>
      </w:r>
      <w:r>
        <w:rPr>
          <w:rFonts w:hint="eastAsia" w:ascii="仿宋" w:hAnsi="仿宋" w:eastAsia="仿宋" w:cs="仿宋"/>
          <w:sz w:val="28"/>
          <w:szCs w:val="28"/>
          <w:highlight w:val="none"/>
          <w:lang w:bidi="ar"/>
        </w:rPr>
        <w:t>人</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val="en-US" w:eastAsia="zh-CN" w:bidi="ar"/>
        </w:rPr>
        <w:t>,毕业授予学位437人</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lang w:eastAsia="zh-CN" w:bidi="ar"/>
        </w:rPr>
        <w:t>当年统招</w:t>
      </w:r>
      <w:r>
        <w:rPr>
          <w:rFonts w:hint="eastAsia" w:ascii="仿宋" w:hAnsi="仿宋" w:eastAsia="仿宋" w:cs="仿宋"/>
          <w:sz w:val="28"/>
          <w:szCs w:val="28"/>
          <w:highlight w:val="none"/>
          <w:lang w:bidi="ar"/>
        </w:rPr>
        <w:t>报录比</w:t>
      </w:r>
      <w:r>
        <w:rPr>
          <w:rFonts w:hint="eastAsia" w:ascii="仿宋" w:hAnsi="仿宋" w:eastAsia="仿宋" w:cs="仿宋"/>
          <w:sz w:val="28"/>
          <w:szCs w:val="28"/>
          <w:highlight w:val="none"/>
          <w:lang w:eastAsia="zh-CN" w:bidi="ar"/>
        </w:rPr>
        <w:t>接近</w:t>
      </w:r>
      <w:r>
        <w:rPr>
          <w:rFonts w:hint="eastAsia" w:ascii="仿宋" w:hAnsi="仿宋" w:eastAsia="仿宋" w:cs="仿宋"/>
          <w:sz w:val="28"/>
          <w:szCs w:val="28"/>
          <w:highlight w:val="none"/>
          <w:lang w:val="en-US" w:eastAsia="zh-CN" w:bidi="ar"/>
        </w:rPr>
        <w:t>13:1</w:t>
      </w:r>
      <w:r>
        <w:rPr>
          <w:rFonts w:hint="eastAsia" w:ascii="仿宋" w:hAnsi="仿宋" w:eastAsia="仿宋" w:cs="仿宋"/>
          <w:sz w:val="28"/>
          <w:szCs w:val="28"/>
          <w:highlight w:val="none"/>
          <w:lang w:bidi="ar"/>
        </w:rPr>
        <w:t>，“双一流”高校(学科)生源达70%</w:t>
      </w:r>
      <w:r>
        <w:rPr>
          <w:rFonts w:hint="eastAsia" w:ascii="仿宋" w:hAnsi="仿宋" w:eastAsia="仿宋" w:cs="仿宋"/>
          <w:sz w:val="28"/>
          <w:szCs w:val="28"/>
          <w:highlight w:val="none"/>
          <w:lang w:eastAsia="zh-CN" w:bidi="ar"/>
        </w:rPr>
        <w:t>左右</w:t>
      </w:r>
      <w:r>
        <w:rPr>
          <w:rFonts w:hint="eastAsia" w:ascii="仿宋" w:hAnsi="仿宋" w:eastAsia="仿宋" w:cs="仿宋"/>
          <w:sz w:val="28"/>
          <w:szCs w:val="28"/>
          <w:highlight w:val="none"/>
          <w:lang w:bidi="ar"/>
        </w:rPr>
        <w:t>；毕业生就业率达</w:t>
      </w:r>
      <w:r>
        <w:rPr>
          <w:rFonts w:hint="eastAsia" w:ascii="仿宋" w:hAnsi="仿宋" w:eastAsia="仿宋"/>
          <w:sz w:val="28"/>
          <w:szCs w:val="28"/>
          <w:highlight w:val="none"/>
        </w:rPr>
        <w:t>9</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 w:hAnsi="仿宋" w:eastAsia="仿宋" w:cs="仿宋"/>
          <w:sz w:val="28"/>
          <w:szCs w:val="28"/>
          <w:highlight w:val="none"/>
          <w:lang w:bidi="ar"/>
        </w:rPr>
        <w:t>。其</w:t>
      </w:r>
      <w:r>
        <w:rPr>
          <w:rFonts w:hint="eastAsia" w:ascii="仿宋" w:hAnsi="仿宋" w:eastAsia="仿宋" w:cs="仿宋"/>
          <w:sz w:val="28"/>
          <w:szCs w:val="28"/>
          <w:highlight w:val="none"/>
          <w:lang w:eastAsia="zh-CN" w:bidi="ar"/>
        </w:rPr>
        <w:t>中</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lang w:val="en-US" w:eastAsia="zh-CN" w:bidi="ar"/>
        </w:rPr>
        <w:t>51.2</w:t>
      </w:r>
      <w:r>
        <w:rPr>
          <w:rFonts w:hint="eastAsia" w:ascii="仿宋" w:hAnsi="仿宋" w:eastAsia="仿宋" w:cs="仿宋"/>
          <w:sz w:val="28"/>
          <w:szCs w:val="28"/>
          <w:highlight w:val="none"/>
          <w:lang w:bidi="ar"/>
        </w:rPr>
        <w:t>%进入银行，</w:t>
      </w:r>
      <w:r>
        <w:rPr>
          <w:rFonts w:hint="eastAsia" w:ascii="仿宋" w:hAnsi="仿宋" w:eastAsia="仿宋" w:cs="仿宋"/>
          <w:sz w:val="28"/>
          <w:szCs w:val="28"/>
          <w:highlight w:val="none"/>
          <w:lang w:val="en-US" w:eastAsia="zh-CN" w:bidi="ar"/>
        </w:rPr>
        <w:t>16.2</w:t>
      </w:r>
      <w:r>
        <w:rPr>
          <w:rFonts w:hint="eastAsia" w:ascii="仿宋" w:hAnsi="仿宋" w:eastAsia="仿宋" w:cs="仿宋"/>
          <w:sz w:val="28"/>
          <w:szCs w:val="28"/>
          <w:highlight w:val="none"/>
          <w:lang w:bidi="ar"/>
        </w:rPr>
        <w:t>%进入券商基金，</w:t>
      </w:r>
      <w:r>
        <w:rPr>
          <w:rFonts w:hint="eastAsia" w:ascii="仿宋" w:hAnsi="仿宋" w:eastAsia="仿宋" w:cs="仿宋"/>
          <w:sz w:val="28"/>
          <w:szCs w:val="28"/>
          <w:highlight w:val="none"/>
          <w:lang w:val="en-US" w:eastAsia="zh-CN" w:bidi="ar"/>
        </w:rPr>
        <w:t>21.7</w:t>
      </w:r>
      <w:r>
        <w:rPr>
          <w:rFonts w:hint="eastAsia" w:ascii="仿宋" w:hAnsi="仿宋" w:eastAsia="仿宋" w:cs="仿宋"/>
          <w:sz w:val="28"/>
          <w:szCs w:val="28"/>
          <w:highlight w:val="none"/>
          <w:lang w:bidi="ar"/>
        </w:rPr>
        <w:t>%进入其他金融机构，</w:t>
      </w:r>
      <w:r>
        <w:rPr>
          <w:rFonts w:hint="eastAsia" w:ascii="仿宋" w:hAnsi="仿宋" w:eastAsia="仿宋" w:cs="仿宋"/>
          <w:sz w:val="28"/>
          <w:szCs w:val="28"/>
          <w:highlight w:val="none"/>
          <w:lang w:val="en-US" w:eastAsia="zh-CN" w:bidi="ar"/>
        </w:rPr>
        <w:t>6.2</w:t>
      </w:r>
      <w:r>
        <w:rPr>
          <w:rFonts w:hint="eastAsia" w:ascii="仿宋" w:hAnsi="仿宋" w:eastAsia="仿宋" w:cs="仿宋"/>
          <w:sz w:val="28"/>
          <w:szCs w:val="28"/>
          <w:highlight w:val="none"/>
          <w:lang w:bidi="ar"/>
        </w:rPr>
        <w:t>%进入国家机关事业单位（图1），毕业生平均薪酬居全国前列。</w:t>
      </w:r>
    </w:p>
    <w:p>
      <w:pPr>
        <w:pageBreakBefore w:val="0"/>
        <w:kinsoku/>
        <w:wordWrap/>
        <w:overflowPunct/>
        <w:topLinePunct w:val="0"/>
        <w:autoSpaceDE/>
        <w:autoSpaceDN/>
        <w:bidi w:val="0"/>
        <w:adjustRightInd w:val="0"/>
        <w:snapToGrid w:val="0"/>
        <w:spacing w:line="360" w:lineRule="auto"/>
        <w:ind w:left="0" w:firstLine="420" w:firstLineChars="200"/>
        <w:jc w:val="left"/>
        <w:rPr>
          <w:rFonts w:hint="eastAsia" w:ascii="仿宋" w:hAnsi="仿宋" w:eastAsia="仿宋" w:cs="仿宋"/>
          <w:sz w:val="28"/>
          <w:szCs w:val="28"/>
          <w:highlight w:val="none"/>
          <w:lang w:bidi="ar"/>
        </w:rPr>
      </w:pPr>
      <w:r>
        <w:drawing>
          <wp:inline distT="0" distB="0" distL="114300" distR="114300">
            <wp:extent cx="4587240" cy="2758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587240" cy="2758440"/>
                    </a:xfrm>
                    <a:prstGeom prst="rect">
                      <a:avLst/>
                    </a:prstGeom>
                    <a:noFill/>
                    <a:ln>
                      <a:noFill/>
                    </a:ln>
                  </pic:spPr>
                </pic:pic>
              </a:graphicData>
            </a:graphic>
          </wp:inline>
        </w:drawing>
      </w:r>
    </w:p>
    <w:p>
      <w:pPr>
        <w:pageBreakBefore w:val="0"/>
        <w:kinsoku/>
        <w:wordWrap/>
        <w:overflowPunct/>
        <w:topLinePunct w:val="0"/>
        <w:autoSpaceDE/>
        <w:autoSpaceDN/>
        <w:bidi w:val="0"/>
        <w:adjustRightInd w:val="0"/>
        <w:snapToGrid w:val="0"/>
        <w:spacing w:line="360" w:lineRule="auto"/>
        <w:ind w:left="0" w:firstLine="560" w:firstLineChars="200"/>
        <w:jc w:val="center"/>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图1 202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届毕业生去向分布</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年，本学位授权点以习近平新时代中国特色社会主义思想为指导，全面贯彻落实全国研究生教育会议精神。一是加强思想政治工作，</w:t>
      </w:r>
      <w:bookmarkStart w:id="0" w:name="OLE_LINK2"/>
      <w:r>
        <w:rPr>
          <w:rFonts w:hint="eastAsia" w:ascii="仿宋" w:hAnsi="仿宋" w:eastAsia="仿宋" w:cs="仿宋"/>
          <w:sz w:val="28"/>
          <w:szCs w:val="28"/>
          <w:highlight w:val="none"/>
          <w:lang w:bidi="ar"/>
        </w:rPr>
        <w:t>当年发展</w:t>
      </w:r>
      <w:r>
        <w:rPr>
          <w:rFonts w:hint="eastAsia" w:ascii="仿宋" w:hAnsi="仿宋" w:eastAsia="仿宋" w:cs="仿宋"/>
          <w:sz w:val="28"/>
          <w:szCs w:val="28"/>
          <w:highlight w:val="none"/>
          <w:lang w:val="en-US" w:eastAsia="zh-CN" w:bidi="ar"/>
        </w:rPr>
        <w:t>28</w:t>
      </w:r>
      <w:r>
        <w:rPr>
          <w:rFonts w:hint="eastAsia" w:ascii="仿宋" w:hAnsi="仿宋" w:eastAsia="仿宋" w:cs="仿宋"/>
          <w:sz w:val="28"/>
          <w:szCs w:val="28"/>
          <w:highlight w:val="none"/>
          <w:lang w:bidi="ar"/>
        </w:rPr>
        <w:t>位学生入党，</w:t>
      </w:r>
      <w:r>
        <w:rPr>
          <w:rFonts w:hint="eastAsia" w:ascii="仿宋" w:hAnsi="仿宋" w:eastAsia="仿宋" w:cs="仿宋"/>
          <w:sz w:val="28"/>
          <w:szCs w:val="28"/>
          <w:highlight w:val="none"/>
          <w:lang w:val="en-US" w:eastAsia="zh-CN" w:bidi="ar"/>
        </w:rPr>
        <w:t>206</w:t>
      </w:r>
      <w:r>
        <w:rPr>
          <w:rFonts w:hint="eastAsia" w:ascii="仿宋" w:hAnsi="仿宋" w:eastAsia="仿宋" w:cs="仿宋"/>
          <w:sz w:val="28"/>
          <w:szCs w:val="28"/>
          <w:highlight w:val="none"/>
          <w:lang w:bidi="ar"/>
        </w:rPr>
        <w:t>位学生成为入党积极分子</w:t>
      </w:r>
      <w:bookmarkEnd w:id="0"/>
      <w:r>
        <w:rPr>
          <w:rFonts w:hint="eastAsia" w:ascii="仿宋" w:hAnsi="仿宋" w:eastAsia="仿宋" w:cs="仿宋"/>
          <w:sz w:val="28"/>
          <w:szCs w:val="28"/>
          <w:highlight w:val="none"/>
          <w:lang w:bidi="ar"/>
        </w:rPr>
        <w:t>。二是加强质量管理监督，</w:t>
      </w:r>
      <w:r>
        <w:rPr>
          <w:rFonts w:hint="eastAsia" w:ascii="仿宋" w:hAnsi="仿宋" w:eastAsia="仿宋" w:cs="仿宋"/>
          <w:sz w:val="28"/>
          <w:szCs w:val="28"/>
          <w:highlight w:val="none"/>
          <w:lang w:eastAsia="zh-CN" w:bidi="ar"/>
        </w:rPr>
        <w:t>学位论文</w:t>
      </w:r>
      <w:r>
        <w:rPr>
          <w:rFonts w:hint="eastAsia" w:ascii="仿宋" w:hAnsi="仿宋" w:eastAsia="仿宋" w:cs="仿宋"/>
          <w:sz w:val="28"/>
          <w:szCs w:val="28"/>
          <w:highlight w:val="none"/>
          <w:lang w:bidi="ar"/>
        </w:rPr>
        <w:t>以校内外100%双重匿名评审、匿名答辩、毕业后校内抽检等措施全面保障学位论文质量，各级抽检100%合格</w:t>
      </w:r>
      <w:r>
        <w:rPr>
          <w:rFonts w:hint="eastAsia" w:ascii="仿宋" w:hAnsi="仿宋" w:eastAsia="仿宋" w:cs="仿宋"/>
          <w:sz w:val="28"/>
          <w:szCs w:val="28"/>
          <w:highlight w:val="none"/>
          <w:lang w:eastAsia="zh-CN" w:bidi="ar"/>
        </w:rPr>
        <w:t>；在课程建设上，通过提高课程设置门槛、强化课程团队建设和科学设计评教等方式加强课程质量监控</w:t>
      </w:r>
      <w:r>
        <w:rPr>
          <w:rFonts w:hint="eastAsia" w:ascii="仿宋" w:hAnsi="仿宋" w:eastAsia="仿宋" w:cs="仿宋"/>
          <w:sz w:val="28"/>
          <w:szCs w:val="28"/>
          <w:highlight w:val="none"/>
          <w:lang w:bidi="ar"/>
        </w:rPr>
        <w:t>。三是加强培养模式创新，在课程</w:t>
      </w:r>
      <w:r>
        <w:rPr>
          <w:rFonts w:hint="eastAsia" w:ascii="仿宋" w:hAnsi="仿宋" w:eastAsia="仿宋" w:cs="仿宋"/>
          <w:sz w:val="28"/>
          <w:szCs w:val="28"/>
          <w:highlight w:val="none"/>
          <w:lang w:eastAsia="zh-CN" w:bidi="ar"/>
        </w:rPr>
        <w:t>教学</w:t>
      </w:r>
      <w:r>
        <w:rPr>
          <w:rFonts w:hint="eastAsia" w:ascii="仿宋" w:hAnsi="仿宋" w:eastAsia="仿宋" w:cs="仿宋"/>
          <w:sz w:val="28"/>
          <w:szCs w:val="28"/>
          <w:highlight w:val="none"/>
          <w:lang w:bidi="ar"/>
        </w:rPr>
        <w:t>、学术培训、素质提升、产教融合四方面取得如下成绩。</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课程</w:t>
      </w:r>
      <w:r>
        <w:rPr>
          <w:rFonts w:hint="eastAsia" w:ascii="仿宋" w:hAnsi="仿宋" w:eastAsia="仿宋" w:cs="仿宋"/>
          <w:sz w:val="28"/>
          <w:szCs w:val="28"/>
          <w:highlight w:val="none"/>
          <w:lang w:eastAsia="zh-CN" w:bidi="ar"/>
        </w:rPr>
        <w:t>教学</w:t>
      </w:r>
      <w:r>
        <w:rPr>
          <w:rFonts w:hint="eastAsia" w:ascii="仿宋" w:hAnsi="仿宋" w:eastAsia="仿宋" w:cs="仿宋"/>
          <w:sz w:val="28"/>
          <w:szCs w:val="28"/>
          <w:highlight w:val="none"/>
          <w:lang w:bidi="ar"/>
        </w:rPr>
        <w:t>方面，理论实务案例三结合。</w:t>
      </w:r>
      <w:r>
        <w:rPr>
          <w:rFonts w:hint="eastAsia" w:ascii="仿宋" w:hAnsi="仿宋" w:eastAsia="仿宋" w:cs="仿宋"/>
          <w:sz w:val="28"/>
          <w:szCs w:val="28"/>
          <w:highlight w:val="none"/>
          <w:lang w:val="en-US" w:eastAsia="zh-CN" w:bidi="ar"/>
        </w:rPr>
        <w:t>2023年共开设了97门课程，6187人次修读。</w:t>
      </w:r>
      <w:r>
        <w:rPr>
          <w:rFonts w:hint="eastAsia" w:ascii="仿宋" w:hAnsi="仿宋" w:eastAsia="仿宋" w:cs="仿宋"/>
          <w:sz w:val="28"/>
          <w:szCs w:val="28"/>
          <w:highlight w:val="none"/>
          <w:lang w:bidi="ar"/>
        </w:rPr>
        <w:t>核心必修课由研究能力强、</w:t>
      </w:r>
      <w:r>
        <w:rPr>
          <w:rFonts w:hint="eastAsia" w:ascii="仿宋" w:hAnsi="仿宋" w:eastAsia="仿宋" w:cs="仿宋"/>
          <w:sz w:val="28"/>
          <w:szCs w:val="28"/>
          <w:highlight w:val="none"/>
          <w:lang w:eastAsia="zh-CN" w:bidi="ar"/>
        </w:rPr>
        <w:t>理论基础深厚、教学经验丰富并具备一定行业经历的教师</w:t>
      </w:r>
      <w:r>
        <w:rPr>
          <w:rFonts w:hint="eastAsia" w:ascii="仿宋" w:hAnsi="仿宋" w:eastAsia="仿宋" w:cs="仿宋"/>
          <w:sz w:val="28"/>
          <w:szCs w:val="28"/>
          <w:highlight w:val="none"/>
          <w:lang w:bidi="ar"/>
        </w:rPr>
        <w:t>负责，突出理论高度</w:t>
      </w:r>
      <w:r>
        <w:rPr>
          <w:rFonts w:hint="eastAsia" w:ascii="仿宋" w:hAnsi="仿宋" w:eastAsia="仿宋" w:cs="仿宋"/>
          <w:sz w:val="28"/>
          <w:szCs w:val="28"/>
          <w:highlight w:val="none"/>
          <w:lang w:eastAsia="zh-CN" w:bidi="ar"/>
        </w:rPr>
        <w:t>的同时，能兼顾应用能力的培养</w:t>
      </w:r>
      <w:r>
        <w:rPr>
          <w:rFonts w:hint="eastAsia" w:ascii="仿宋" w:hAnsi="仿宋" w:eastAsia="仿宋" w:cs="仿宋"/>
          <w:sz w:val="28"/>
          <w:szCs w:val="28"/>
          <w:highlight w:val="none"/>
          <w:lang w:bidi="ar"/>
        </w:rPr>
        <w:t>；选修课中《商品期货与期权实务》、《信用评级理论与实践》</w:t>
      </w:r>
      <w:r>
        <w:rPr>
          <w:rFonts w:hint="eastAsia" w:ascii="仿宋" w:hAnsi="仿宋" w:eastAsia="仿宋" w:cs="仿宋"/>
          <w:sz w:val="28"/>
          <w:szCs w:val="28"/>
          <w:highlight w:val="none"/>
          <w:lang w:eastAsia="zh-CN" w:bidi="ar"/>
        </w:rPr>
        <w:t>、《场外衍生品实务》</w:t>
      </w:r>
      <w:r>
        <w:rPr>
          <w:rFonts w:hint="eastAsia" w:ascii="仿宋" w:hAnsi="仿宋" w:eastAsia="仿宋" w:cs="仿宋"/>
          <w:sz w:val="28"/>
          <w:szCs w:val="28"/>
          <w:highlight w:val="none"/>
          <w:lang w:bidi="ar"/>
        </w:rPr>
        <w:t>等</w:t>
      </w:r>
      <w:r>
        <w:rPr>
          <w:rFonts w:hint="eastAsia" w:ascii="仿宋" w:hAnsi="仿宋" w:eastAsia="仿宋" w:cs="仿宋"/>
          <w:sz w:val="28"/>
          <w:szCs w:val="28"/>
          <w:highlight w:val="none"/>
          <w:lang w:val="en-US" w:eastAsia="zh-CN" w:bidi="ar"/>
        </w:rPr>
        <w:t>10</w:t>
      </w:r>
      <w:r>
        <w:rPr>
          <w:rFonts w:hint="eastAsia" w:ascii="仿宋" w:hAnsi="仿宋" w:eastAsia="仿宋" w:cs="仿宋"/>
          <w:sz w:val="28"/>
          <w:szCs w:val="28"/>
          <w:highlight w:val="none"/>
          <w:lang w:bidi="ar"/>
        </w:rPr>
        <w:t>门由业界专家全程授课，</w:t>
      </w:r>
      <w:r>
        <w:rPr>
          <w:rFonts w:hint="eastAsia" w:ascii="仿宋" w:hAnsi="仿宋" w:eastAsia="仿宋" w:cs="仿宋"/>
          <w:sz w:val="28"/>
          <w:szCs w:val="28"/>
          <w:highlight w:val="none"/>
          <w:lang w:eastAsia="zh-CN" w:bidi="ar"/>
        </w:rPr>
        <w:t>《宏观金融分析》、《转型时期的中国宏观经济政策》、《投资银行学》等</w:t>
      </w:r>
      <w:r>
        <w:rPr>
          <w:rFonts w:hint="eastAsia" w:ascii="仿宋" w:hAnsi="仿宋" w:eastAsia="仿宋" w:cs="仿宋"/>
          <w:sz w:val="28"/>
          <w:szCs w:val="28"/>
          <w:highlight w:val="none"/>
          <w:lang w:val="en-US" w:eastAsia="zh-CN" w:bidi="ar"/>
        </w:rPr>
        <w:t>10多门课程由业界专家参与授课，部分承担教学任务。这些实务类或与实务紧密相关的课程占总课程30%左右，内容“时新”，准确抓取业界热点，专注于强化学生的实践能力</w:t>
      </w:r>
      <w:r>
        <w:rPr>
          <w:rFonts w:hint="eastAsia" w:ascii="仿宋" w:hAnsi="仿宋" w:eastAsia="仿宋" w:cs="仿宋"/>
          <w:sz w:val="28"/>
          <w:szCs w:val="28"/>
          <w:highlight w:val="none"/>
          <w:lang w:bidi="ar"/>
        </w:rPr>
        <w:t>，推动了应用性人才培养目标的实现。</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sz w:val="28"/>
          <w:szCs w:val="28"/>
          <w:highlight w:val="none"/>
          <w:lang w:val="en-US" w:eastAsia="zh-CN"/>
        </w:rPr>
      </w:pPr>
      <w:r>
        <w:rPr>
          <w:rFonts w:hint="eastAsia" w:ascii="仿宋" w:hAnsi="仿宋" w:eastAsia="仿宋" w:cs="仿宋"/>
          <w:sz w:val="28"/>
          <w:szCs w:val="28"/>
          <w:highlight w:val="none"/>
          <w:lang w:eastAsia="zh-CN" w:bidi="ar"/>
        </w:rPr>
        <w:t>在各类课程教学中，</w:t>
      </w:r>
      <w:r>
        <w:rPr>
          <w:rFonts w:hint="eastAsia" w:ascii="仿宋" w:hAnsi="仿宋" w:eastAsia="仿宋" w:cs="仿宋"/>
          <w:sz w:val="28"/>
          <w:szCs w:val="28"/>
          <w:highlight w:val="none"/>
          <w:lang w:bidi="ar"/>
        </w:rPr>
        <w:t>教师高度注重案例开发与运用，90%课程开展案例教学。</w:t>
      </w:r>
      <w:r>
        <w:rPr>
          <w:rFonts w:hint="eastAsia" w:ascii="仿宋" w:hAnsi="仿宋" w:eastAsia="仿宋"/>
          <w:sz w:val="28"/>
          <w:szCs w:val="28"/>
          <w:highlight w:val="none"/>
        </w:rPr>
        <w:t>金融教指委2023年案例征集活动中，</w:t>
      </w:r>
      <w:r>
        <w:rPr>
          <w:rFonts w:hint="eastAsia" w:ascii="仿宋" w:hAnsi="仿宋" w:eastAsia="仿宋"/>
          <w:sz w:val="28"/>
          <w:szCs w:val="28"/>
          <w:highlight w:val="none"/>
          <w:lang w:eastAsia="zh-CN"/>
        </w:rPr>
        <w:t>投稿近</w:t>
      </w:r>
      <w:r>
        <w:rPr>
          <w:rFonts w:hint="eastAsia" w:ascii="仿宋" w:hAnsi="仿宋" w:eastAsia="仿宋"/>
          <w:sz w:val="28"/>
          <w:szCs w:val="28"/>
          <w:highlight w:val="none"/>
          <w:lang w:val="en-US" w:eastAsia="zh-CN"/>
        </w:rPr>
        <w:t>30篇</w:t>
      </w:r>
      <w:r>
        <w:rPr>
          <w:rFonts w:hint="eastAsia" w:ascii="仿宋" w:hAnsi="仿宋" w:eastAsia="仿宋"/>
          <w:sz w:val="28"/>
          <w:szCs w:val="28"/>
          <w:highlight w:val="none"/>
        </w:rPr>
        <w:t>案例，7篇入库，</w:t>
      </w:r>
      <w:r>
        <w:rPr>
          <w:rFonts w:hint="eastAsia" w:ascii="仿宋" w:hAnsi="仿宋" w:eastAsia="仿宋"/>
          <w:sz w:val="28"/>
          <w:szCs w:val="28"/>
          <w:highlight w:val="none"/>
          <w:lang w:val="en-US" w:eastAsia="zh-CN"/>
        </w:rPr>
        <w:t>如下表1所示。</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表1 中国金融专业学位案例中心入库案例</w:t>
      </w:r>
    </w:p>
    <w:tbl>
      <w:tblPr>
        <w:tblStyle w:val="7"/>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2587"/>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b/>
                <w:bCs/>
                <w:i w:val="0"/>
                <w:iCs w:val="0"/>
                <w:color w:val="000000"/>
                <w:sz w:val="24"/>
                <w:szCs w:val="24"/>
                <w:lang w:val="en-US" w:eastAsia="zh-CN" w:bidi="ar"/>
              </w:rPr>
            </w:pPr>
            <w:r>
              <w:rPr>
                <w:rStyle w:val="14"/>
                <w:rFonts w:hint="eastAsia" w:ascii="华文楷体" w:hAnsi="华文楷体" w:eastAsia="华文楷体" w:cs="华文楷体"/>
                <w:b/>
                <w:bCs/>
                <w:i w:val="0"/>
                <w:iCs w:val="0"/>
                <w:color w:val="000000"/>
                <w:sz w:val="24"/>
                <w:szCs w:val="24"/>
                <w:lang w:val="en-US" w:eastAsia="zh-CN" w:bidi="ar"/>
              </w:rPr>
              <w:t>编号</w:t>
            </w:r>
          </w:p>
        </w:tc>
        <w:tc>
          <w:tcPr>
            <w:tcW w:w="2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b/>
                <w:bCs/>
                <w:i w:val="0"/>
                <w:iCs w:val="0"/>
                <w:color w:val="000000"/>
                <w:sz w:val="24"/>
                <w:szCs w:val="24"/>
                <w:lang w:val="en-US" w:eastAsia="zh-CN" w:bidi="ar"/>
              </w:rPr>
            </w:pPr>
            <w:r>
              <w:rPr>
                <w:rStyle w:val="14"/>
                <w:rFonts w:hint="eastAsia" w:ascii="华文楷体" w:hAnsi="华文楷体" w:eastAsia="华文楷体" w:cs="华文楷体"/>
                <w:b/>
                <w:bCs/>
                <w:i w:val="0"/>
                <w:iCs w:val="0"/>
                <w:color w:val="000000"/>
                <w:sz w:val="24"/>
                <w:szCs w:val="24"/>
                <w:lang w:val="en-US" w:eastAsia="zh-CN" w:bidi="ar"/>
              </w:rPr>
              <w:t>作者</w:t>
            </w: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b/>
                <w:bCs/>
                <w:i w:val="0"/>
                <w:iCs w:val="0"/>
                <w:color w:val="000000"/>
                <w:sz w:val="24"/>
                <w:szCs w:val="24"/>
                <w:lang w:val="en-US" w:eastAsia="zh-CN" w:bidi="ar"/>
              </w:rPr>
            </w:pPr>
            <w:r>
              <w:rPr>
                <w:rStyle w:val="14"/>
                <w:rFonts w:hint="eastAsia" w:ascii="华文楷体" w:hAnsi="华文楷体" w:eastAsia="华文楷体" w:cs="华文楷体"/>
                <w:b/>
                <w:bCs/>
                <w:i w:val="0"/>
                <w:iCs w:val="0"/>
                <w:color w:val="000000"/>
                <w:sz w:val="24"/>
                <w:szCs w:val="24"/>
                <w:lang w:val="en-US" w:eastAsia="zh-CN" w:bidi="ar"/>
              </w:rPr>
              <w:t>案例题目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1</w:t>
            </w:r>
          </w:p>
        </w:tc>
        <w:tc>
          <w:tcPr>
            <w:tcW w:w="258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刘津宇、李政宵、刘孔滢、马千雯</w:t>
            </w:r>
          </w:p>
        </w:tc>
        <w:tc>
          <w:tcPr>
            <w:tcW w:w="51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债券市场开放背景下本土企业“出海”融资的危与机——华夏幸福美元债困境与处置案例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2</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钟腾、刘展、王骜然</w:t>
            </w:r>
          </w:p>
        </w:tc>
        <w:tc>
          <w:tcPr>
            <w:tcW w:w="5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利刃出鞘——特别代表人诉讼制度“亮剑”康美药业案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屈源育、邹宇翔</w:t>
            </w:r>
          </w:p>
        </w:tc>
        <w:tc>
          <w:tcPr>
            <w:tcW w:w="5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“新瓶装旧酒”——南方ESG主题股票基金“漂绿”之路何去何从？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4</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卞洋、陆乔蔚、周楠星、杨紫薇</w:t>
            </w:r>
          </w:p>
        </w:tc>
        <w:tc>
          <w:tcPr>
            <w:tcW w:w="5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固链之机——RCEP生效对东亚区域产业链意味着什么？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5</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黄晓薇、丁相文、王誉杰</w:t>
            </w:r>
          </w:p>
        </w:tc>
        <w:tc>
          <w:tcPr>
            <w:tcW w:w="5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跌宕起伏“五洋案”，信评机构“罪与罚”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6</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范中杰</w:t>
            </w:r>
          </w:p>
        </w:tc>
        <w:tc>
          <w:tcPr>
            <w:tcW w:w="5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负重前行的城投信仰：兰州城投技术性违约事件始末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7</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宫迪、杨锦潼、王煜东、朱偲晗</w:t>
            </w:r>
          </w:p>
        </w:tc>
        <w:tc>
          <w:tcPr>
            <w:tcW w:w="5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left"/>
              <w:textAlignment w:val="center"/>
              <w:rPr>
                <w:rStyle w:val="14"/>
                <w:rFonts w:hint="eastAsia" w:ascii="华文楷体" w:hAnsi="华文楷体" w:eastAsia="华文楷体" w:cs="华文楷体"/>
                <w:i w:val="0"/>
                <w:iCs w:val="0"/>
                <w:color w:val="000000"/>
                <w:sz w:val="24"/>
                <w:szCs w:val="24"/>
                <w:lang w:val="en-US" w:eastAsia="zh-CN" w:bidi="ar"/>
              </w:rPr>
            </w:pPr>
            <w:r>
              <w:rPr>
                <w:rStyle w:val="14"/>
                <w:rFonts w:hint="eastAsia" w:ascii="华文楷体" w:hAnsi="华文楷体" w:eastAsia="华文楷体" w:cs="华文楷体"/>
                <w:i w:val="0"/>
                <w:iCs w:val="0"/>
                <w:color w:val="000000"/>
                <w:sz w:val="24"/>
                <w:szCs w:val="24"/>
                <w:lang w:val="en-US" w:eastAsia="zh-CN" w:bidi="ar"/>
              </w:rPr>
              <w:t>是非成败转头空：广州农商行的高光与隐忧</w:t>
            </w:r>
          </w:p>
        </w:tc>
      </w:tr>
    </w:tbl>
    <w:p>
      <w:pPr>
        <w:pageBreakBefore w:val="0"/>
        <w:kinsoku/>
        <w:wordWrap/>
        <w:overflowPunct/>
        <w:topLinePunct w:val="0"/>
        <w:autoSpaceDE/>
        <w:autoSpaceDN/>
        <w:bidi w:val="0"/>
        <w:adjustRightInd w:val="0"/>
        <w:snapToGrid w:val="0"/>
        <w:spacing w:line="360" w:lineRule="auto"/>
        <w:rPr>
          <w:rFonts w:hint="eastAsia" w:ascii="仿宋" w:hAnsi="仿宋" w:eastAsia="仿宋"/>
          <w:sz w:val="28"/>
          <w:szCs w:val="28"/>
          <w:highlight w:val="none"/>
        </w:rPr>
      </w:pP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在2023年“中央高校教育教学改革专项”校级立项活动中，共有10个专业学位案例立项获批。</w:t>
      </w:r>
    </w:p>
    <w:p>
      <w:pPr>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学术训练方面，学风与技能两手抓。学风建设上，新生入学伊始即参加学术规范系列活动，</w:t>
      </w:r>
      <w:r>
        <w:rPr>
          <w:rFonts w:hint="eastAsia" w:ascii="仿宋" w:hAnsi="仿宋" w:eastAsia="仿宋" w:cs="仿宋"/>
          <w:sz w:val="28"/>
          <w:szCs w:val="28"/>
          <w:highlight w:val="none"/>
          <w:lang w:eastAsia="zh-CN" w:bidi="ar"/>
        </w:rPr>
        <w:t>学习</w:t>
      </w:r>
      <w:r>
        <w:rPr>
          <w:rFonts w:hint="eastAsia" w:ascii="仿宋" w:hAnsi="仿宋" w:eastAsia="仿宋" w:cs="仿宋"/>
          <w:sz w:val="28"/>
          <w:szCs w:val="28"/>
          <w:highlight w:val="none"/>
          <w:lang w:bidi="ar"/>
        </w:rPr>
        <w:t>《学位论文学术不端行为检测及处理办法》，签署学术诚信承诺书，参观学术不端警示案例展。硕士阶段所有以论文方式考核的课程，期末论文均上传查重系统检测。</w:t>
      </w:r>
      <w:r>
        <w:rPr>
          <w:rFonts w:hint="eastAsia" w:ascii="仿宋" w:hAnsi="仿宋" w:eastAsia="仿宋" w:cs="仿宋"/>
          <w:sz w:val="28"/>
          <w:szCs w:val="28"/>
          <w:highlight w:val="none"/>
          <w:lang w:val="en-US" w:eastAsia="zh-CN" w:bidi="ar"/>
        </w:rPr>
        <w:t>继续加强必修课程“研究生学位论文写作”的建设，春秋学期滚动开课，师资团队涉公司金融、资本市场、国际金融、货币政策和金融工程等各个领域10多位科研活跃度高的中青年教师。</w:t>
      </w:r>
      <w:r>
        <w:rPr>
          <w:rFonts w:hint="eastAsia" w:ascii="仿宋" w:hAnsi="仿宋" w:eastAsia="仿宋" w:cs="仿宋"/>
          <w:sz w:val="28"/>
          <w:szCs w:val="28"/>
          <w:highlight w:val="none"/>
          <w:lang w:bidi="ar"/>
        </w:rPr>
        <w:t>重新修订了学院学位论文写作规范并撰写常见问题问答</w:t>
      </w:r>
      <w:r>
        <w:rPr>
          <w:rFonts w:hint="eastAsia" w:ascii="仿宋" w:hAnsi="仿宋" w:eastAsia="仿宋" w:cs="仿宋"/>
          <w:sz w:val="28"/>
          <w:szCs w:val="28"/>
          <w:highlight w:val="none"/>
          <w:lang w:eastAsia="zh-CN" w:bidi="ar"/>
        </w:rPr>
        <w:t>，使学位论文的行文规范“有法可依、有据可循”。</w:t>
      </w:r>
      <w:r>
        <w:rPr>
          <w:rFonts w:hint="eastAsia" w:ascii="仿宋" w:hAnsi="仿宋" w:eastAsia="仿宋" w:cs="仿宋"/>
          <w:sz w:val="28"/>
          <w:szCs w:val="28"/>
          <w:highlight w:val="none"/>
          <w:lang w:bidi="ar"/>
        </w:rPr>
        <w:t>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年1</w:t>
      </w:r>
      <w:r>
        <w:rPr>
          <w:rFonts w:hint="eastAsia" w:ascii="仿宋" w:hAnsi="仿宋" w:eastAsia="仿宋" w:cs="仿宋"/>
          <w:sz w:val="28"/>
          <w:szCs w:val="28"/>
          <w:highlight w:val="none"/>
          <w:lang w:val="en-US" w:eastAsia="zh-CN" w:bidi="ar"/>
        </w:rPr>
        <w:t>2</w:t>
      </w:r>
      <w:r>
        <w:rPr>
          <w:rFonts w:hint="eastAsia" w:ascii="仿宋" w:hAnsi="仿宋" w:eastAsia="仿宋" w:cs="仿宋"/>
          <w:sz w:val="28"/>
          <w:szCs w:val="28"/>
          <w:highlight w:val="none"/>
          <w:lang w:bidi="ar"/>
        </w:rPr>
        <w:t>月邀请金融专硕教指委主任刘庭竹研究员为金融学院师生做了题为“</w:t>
      </w:r>
      <w:r>
        <w:rPr>
          <w:rFonts w:hint="eastAsia" w:ascii="仿宋" w:hAnsi="仿宋" w:eastAsia="仿宋" w:cs="仿宋"/>
          <w:sz w:val="28"/>
          <w:szCs w:val="28"/>
          <w:highlight w:val="none"/>
          <w:lang w:eastAsia="zh-CN" w:bidi="ar"/>
        </w:rPr>
        <w:t>金</w:t>
      </w:r>
      <w:r>
        <w:rPr>
          <w:rFonts w:hint="eastAsia" w:ascii="仿宋" w:hAnsi="仿宋" w:eastAsia="仿宋" w:cs="仿宋"/>
          <w:sz w:val="28"/>
          <w:szCs w:val="28"/>
          <w:highlight w:val="none"/>
          <w:lang w:bidi="ar"/>
        </w:rPr>
        <w:t>融专硕研究生学位论文写作—兼谈研究生学习与课程教学”的讲座</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bidi="ar"/>
        </w:rPr>
        <w:t>分享了“金融专硕研究生学习与生活规划”，“金融专硕课程教学特点及案例”和“金融专硕的论文写作及常见问题分析”等话题</w:t>
      </w:r>
      <w:r>
        <w:rPr>
          <w:rFonts w:hint="eastAsia" w:ascii="仿宋" w:hAnsi="仿宋" w:eastAsia="仿宋" w:cs="仿宋"/>
          <w:sz w:val="28"/>
          <w:szCs w:val="28"/>
          <w:highlight w:val="none"/>
          <w:lang w:eastAsia="zh-CN" w:bidi="ar"/>
        </w:rPr>
        <w:t>，对于厘清专硕学位论文和学术学位论文的不同侧重点、课程教学与学位论文工作的有机结合等问题提供了新的视角。</w:t>
      </w:r>
      <w:r>
        <w:rPr>
          <w:rFonts w:hint="eastAsia" w:ascii="仿宋" w:hAnsi="仿宋" w:eastAsia="仿宋"/>
          <w:sz w:val="28"/>
          <w:szCs w:val="28"/>
          <w:highlight w:val="none"/>
        </w:rPr>
        <w:t>2023年，在教指委举办的金融专业学位论文中心第八、九届学位论文征集活动和校级优秀硕士学位论文评选中，我院各有2篇论文入库和</w:t>
      </w:r>
      <w:r>
        <w:rPr>
          <w:rFonts w:hint="eastAsia" w:ascii="仿宋" w:hAnsi="仿宋" w:eastAsia="仿宋"/>
          <w:sz w:val="28"/>
          <w:szCs w:val="28"/>
          <w:highlight w:val="none"/>
          <w:lang w:val="en-US" w:eastAsia="zh-CN"/>
        </w:rPr>
        <w:t>3篇</w:t>
      </w:r>
      <w:r>
        <w:rPr>
          <w:rFonts w:hint="eastAsia" w:ascii="仿宋" w:hAnsi="仿宋" w:eastAsia="仿宋"/>
          <w:sz w:val="28"/>
          <w:szCs w:val="28"/>
          <w:highlight w:val="none"/>
        </w:rPr>
        <w:t>获得优秀硕士论文奖项。其中，入库论文为：王清的《回收率的影响因素及预测研究--基于中国违约债券数据》（导师：陶利斌）和李子豪的《基于企业ESG评分的A股市场指数增强策略研究》（导师：潘慧峰）。</w:t>
      </w:r>
      <w:r>
        <w:rPr>
          <w:rFonts w:hint="eastAsia" w:ascii="仿宋" w:hAnsi="仿宋" w:eastAsia="仿宋"/>
          <w:sz w:val="28"/>
          <w:szCs w:val="28"/>
          <w:highlight w:val="none"/>
          <w:lang w:val="en-US" w:eastAsia="zh-CN"/>
        </w:rPr>
        <w:t>获得2篇专硕论文</w:t>
      </w:r>
      <w:r>
        <w:rPr>
          <w:rFonts w:hint="eastAsia" w:ascii="仿宋" w:hAnsi="仿宋" w:eastAsia="仿宋"/>
          <w:sz w:val="28"/>
          <w:szCs w:val="28"/>
          <w:highlight w:val="none"/>
        </w:rPr>
        <w:t>校级优秀硕士论文：骆思扬《国债的利息免税效应研究——来自中国国债与政策银行债的经验证据》（导师：黄晓薇）、孔灵璐《知情交易概率（VPIN）、波动性与流动性—基于加密货币市场的实证研究》（导师：邓军）。</w:t>
      </w:r>
    </w:p>
    <w:p>
      <w:pPr>
        <w:pageBreakBefore w:val="0"/>
        <w:kinsoku/>
        <w:wordWrap/>
        <w:overflowPunct/>
        <w:topLinePunct w:val="0"/>
        <w:autoSpaceDE/>
        <w:autoSpaceDN/>
        <w:bidi w:val="0"/>
        <w:adjustRightInd w:val="0"/>
        <w:snapToGrid w:val="0"/>
        <w:spacing w:line="360" w:lineRule="auto"/>
        <w:ind w:left="0" w:firstLine="560" w:firstLineChars="200"/>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eastAsia="zh-CN" w:bidi="ar"/>
        </w:rPr>
        <w:t>注重提升学生整体</w:t>
      </w:r>
      <w:r>
        <w:rPr>
          <w:rFonts w:hint="eastAsia" w:ascii="仿宋" w:hAnsi="仿宋" w:eastAsia="仿宋" w:cs="仿宋"/>
          <w:sz w:val="28"/>
          <w:szCs w:val="28"/>
          <w:highlight w:val="none"/>
          <w:lang w:bidi="ar"/>
        </w:rPr>
        <w:t>素质，</w:t>
      </w:r>
      <w:r>
        <w:rPr>
          <w:rFonts w:hint="eastAsia" w:ascii="仿宋" w:hAnsi="仿宋" w:eastAsia="仿宋" w:cs="仿宋"/>
          <w:sz w:val="28"/>
          <w:szCs w:val="28"/>
          <w:highlight w:val="none"/>
          <w:lang w:eastAsia="zh-CN" w:bidi="ar"/>
        </w:rPr>
        <w:t>促进</w:t>
      </w:r>
      <w:r>
        <w:rPr>
          <w:rFonts w:hint="eastAsia" w:ascii="仿宋" w:hAnsi="仿宋" w:eastAsia="仿宋" w:cs="仿宋"/>
          <w:sz w:val="28"/>
          <w:szCs w:val="28"/>
          <w:highlight w:val="none"/>
          <w:lang w:bidi="ar"/>
        </w:rPr>
        <w:t>德智体美劳全面发展。20</w:t>
      </w:r>
      <w:r>
        <w:rPr>
          <w:rFonts w:hint="eastAsia" w:ascii="仿宋" w:hAnsi="仿宋" w:eastAsia="仿宋" w:cs="仿宋"/>
          <w:sz w:val="28"/>
          <w:szCs w:val="28"/>
          <w:highlight w:val="none"/>
          <w:lang w:val="en-US" w:eastAsia="zh-CN" w:bidi="ar"/>
        </w:rPr>
        <w:t>23</w:t>
      </w:r>
      <w:r>
        <w:rPr>
          <w:rFonts w:hint="eastAsia" w:ascii="仿宋" w:hAnsi="仿宋" w:eastAsia="仿宋" w:cs="仿宋"/>
          <w:sz w:val="28"/>
          <w:szCs w:val="28"/>
          <w:highlight w:val="none"/>
          <w:lang w:bidi="ar"/>
        </w:rPr>
        <w:t>年开展</w:t>
      </w:r>
      <w:r>
        <w:rPr>
          <w:rFonts w:hint="eastAsia" w:ascii="仿宋" w:hAnsi="仿宋" w:eastAsia="仿宋" w:cs="仿宋"/>
          <w:sz w:val="28"/>
          <w:szCs w:val="28"/>
          <w:highlight w:val="none"/>
          <w:lang w:eastAsia="zh-CN" w:bidi="ar"/>
        </w:rPr>
        <w:t>线上</w:t>
      </w:r>
      <w:r>
        <w:rPr>
          <w:rFonts w:hint="eastAsia" w:ascii="仿宋" w:hAnsi="仿宋" w:eastAsia="仿宋" w:cs="仿宋"/>
          <w:sz w:val="28"/>
          <w:szCs w:val="28"/>
          <w:highlight w:val="none"/>
          <w:lang w:bidi="ar"/>
        </w:rPr>
        <w:t>线下活动</w:t>
      </w:r>
      <w:r>
        <w:rPr>
          <w:rFonts w:hint="eastAsia" w:ascii="仿宋" w:hAnsi="仿宋" w:eastAsia="仿宋" w:cs="仿宋"/>
          <w:sz w:val="28"/>
          <w:szCs w:val="28"/>
          <w:highlight w:val="none"/>
          <w:lang w:val="en-US" w:eastAsia="zh-CN" w:bidi="ar"/>
        </w:rPr>
        <w:t>30多</w:t>
      </w:r>
      <w:r>
        <w:rPr>
          <w:rFonts w:hint="eastAsia" w:ascii="仿宋" w:hAnsi="仿宋" w:eastAsia="仿宋" w:cs="仿宋"/>
          <w:sz w:val="28"/>
          <w:szCs w:val="28"/>
          <w:highlight w:val="none"/>
          <w:lang w:bidi="ar"/>
        </w:rPr>
        <w:t>场，</w:t>
      </w:r>
      <w:r>
        <w:rPr>
          <w:rFonts w:hint="eastAsia" w:ascii="仿宋" w:hAnsi="仿宋" w:eastAsia="仿宋" w:cs="仿宋"/>
          <w:sz w:val="28"/>
          <w:szCs w:val="28"/>
          <w:highlight w:val="none"/>
          <w:lang w:eastAsia="zh-CN" w:bidi="ar"/>
        </w:rPr>
        <w:t>如：研究生职业规划系列讲座、系列校友论坛、游泳、兵乓球、羽毛球等各种体育赛事、</w:t>
      </w:r>
      <w:r>
        <w:rPr>
          <w:rFonts w:hint="eastAsia" w:ascii="仿宋" w:hAnsi="仿宋" w:eastAsia="仿宋" w:cs="仿宋"/>
          <w:sz w:val="28"/>
          <w:szCs w:val="28"/>
          <w:highlight w:val="none"/>
          <w:lang w:val="en-US" w:eastAsia="zh-CN" w:bidi="ar"/>
        </w:rPr>
        <w:t xml:space="preserve"> 观看红色电影等，</w:t>
      </w:r>
      <w:r>
        <w:rPr>
          <w:rFonts w:hint="eastAsia" w:ascii="仿宋" w:hAnsi="仿宋" w:eastAsia="仿宋" w:cs="仿宋"/>
          <w:sz w:val="28"/>
          <w:szCs w:val="28"/>
          <w:highlight w:val="none"/>
          <w:lang w:bidi="ar"/>
        </w:rPr>
        <w:t>形成“研途不迷茫”、“研途有你”、“职来职往”等品牌。</w:t>
      </w:r>
      <w:r>
        <w:rPr>
          <w:rFonts w:hint="eastAsia" w:ascii="仿宋" w:hAnsi="仿宋" w:eastAsia="仿宋" w:cs="仿宋"/>
          <w:sz w:val="28"/>
          <w:szCs w:val="28"/>
          <w:highlight w:val="none"/>
          <w:lang w:val="en-US" w:eastAsia="zh-CN" w:bidi="ar"/>
        </w:rPr>
        <w:t>6人次获得如</w:t>
      </w:r>
      <w:r>
        <w:rPr>
          <w:rFonts w:hint="eastAsia" w:ascii="仿宋" w:hAnsi="仿宋" w:eastAsia="仿宋"/>
          <w:sz w:val="28"/>
          <w:szCs w:val="28"/>
          <w:highlight w:val="none"/>
          <w:lang w:val="en-US" w:eastAsia="zh-CN"/>
        </w:rPr>
        <w:t>团中央大学生西部计划优秀志愿者、北京市高校服务乡村振兴行动等省部级以上奖项；13人次参加2023年北京洪堡论坛、教育部“长江学者”高规格的评审会、2023北京马拉松等志愿活动。</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产教融合方面，突出实践能力培养。一是深化校企协同育人，202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年与</w:t>
      </w:r>
      <w:r>
        <w:rPr>
          <w:rFonts w:hint="eastAsia" w:ascii="仿宋" w:hAnsi="仿宋" w:eastAsia="仿宋" w:cs="仿宋"/>
          <w:sz w:val="28"/>
          <w:szCs w:val="28"/>
          <w:highlight w:val="none"/>
          <w:lang w:eastAsia="zh-CN" w:bidi="ar"/>
        </w:rPr>
        <w:t>兴业证券</w:t>
      </w:r>
      <w:r>
        <w:rPr>
          <w:rFonts w:hint="eastAsia" w:ascii="仿宋" w:hAnsi="仿宋" w:eastAsia="仿宋" w:cs="仿宋"/>
          <w:sz w:val="28"/>
          <w:szCs w:val="28"/>
          <w:highlight w:val="none"/>
          <w:lang w:bidi="ar"/>
        </w:rPr>
        <w:t>等企业签订协议，向学生提供实习实训和就业机会；</w:t>
      </w:r>
      <w:r>
        <w:rPr>
          <w:rFonts w:hint="eastAsia" w:ascii="仿宋" w:hAnsi="仿宋" w:eastAsia="仿宋" w:cs="仿宋"/>
          <w:sz w:val="28"/>
          <w:szCs w:val="28"/>
          <w:highlight w:val="none"/>
          <w:lang w:val="en-US" w:eastAsia="zh-CN" w:bidi="ar"/>
        </w:rPr>
        <w:t>举办2023</w:t>
      </w:r>
      <w:r>
        <w:rPr>
          <w:rFonts w:hint="eastAsia" w:ascii="仿宋" w:hAnsi="仿宋" w:eastAsia="仿宋"/>
          <w:sz w:val="28"/>
          <w:szCs w:val="28"/>
          <w:highlight w:val="none"/>
        </w:rPr>
        <w:t>工行杯全国大学生金融科技创新大赛</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与</w:t>
      </w:r>
      <w:r>
        <w:rPr>
          <w:rFonts w:hint="eastAsia" w:ascii="仿宋" w:hAnsi="仿宋" w:eastAsia="仿宋" w:cs="仿宋"/>
          <w:sz w:val="28"/>
          <w:szCs w:val="28"/>
          <w:highlight w:val="none"/>
          <w:lang w:bidi="ar"/>
        </w:rPr>
        <w:t>求索致远公司联合举办第</w:t>
      </w:r>
      <w:r>
        <w:rPr>
          <w:rFonts w:hint="eastAsia" w:ascii="仿宋" w:hAnsi="仿宋" w:eastAsia="仿宋" w:cs="仿宋"/>
          <w:sz w:val="28"/>
          <w:szCs w:val="28"/>
          <w:highlight w:val="none"/>
          <w:lang w:val="en-US" w:eastAsia="zh-CN" w:bidi="ar"/>
        </w:rPr>
        <w:t>四</w:t>
      </w:r>
      <w:r>
        <w:rPr>
          <w:rFonts w:hint="eastAsia" w:ascii="仿宋" w:hAnsi="仿宋" w:eastAsia="仿宋" w:cs="仿宋"/>
          <w:sz w:val="28"/>
          <w:szCs w:val="28"/>
          <w:highlight w:val="none"/>
          <w:lang w:bidi="ar"/>
        </w:rPr>
        <w:t>届“求索杯”期权做市交易大赛。二是持续打造鸿儒金融实务讲座，202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bidi="ar"/>
        </w:rPr>
        <w:t>举办</w:t>
      </w:r>
      <w:r>
        <w:rPr>
          <w:rFonts w:hint="eastAsia" w:ascii="仿宋" w:hAnsi="仿宋" w:eastAsia="仿宋" w:cs="仿宋"/>
          <w:sz w:val="28"/>
          <w:szCs w:val="28"/>
          <w:highlight w:val="none"/>
          <w:lang w:val="en-US" w:eastAsia="zh-CN" w:bidi="ar"/>
        </w:rPr>
        <w:t>10</w:t>
      </w:r>
      <w:r>
        <w:rPr>
          <w:rFonts w:hint="eastAsia" w:ascii="仿宋" w:hAnsi="仿宋" w:eastAsia="仿宋" w:cs="仿宋"/>
          <w:sz w:val="28"/>
          <w:szCs w:val="28"/>
          <w:highlight w:val="none"/>
          <w:lang w:bidi="ar"/>
        </w:rPr>
        <w:t>场专题讲座，主讲人均为业界资深专家，</w:t>
      </w:r>
      <w:r>
        <w:rPr>
          <w:rFonts w:hint="eastAsia" w:ascii="仿宋" w:hAnsi="仿宋" w:eastAsia="仿宋" w:cs="仿宋"/>
          <w:sz w:val="28"/>
          <w:szCs w:val="28"/>
          <w:highlight w:val="none"/>
          <w:lang w:eastAsia="zh-CN" w:bidi="ar"/>
        </w:rPr>
        <w:t>报告内容均为最前沿的行业知识与情状，通过这些讲座，</w:t>
      </w:r>
      <w:r>
        <w:rPr>
          <w:rFonts w:hint="eastAsia" w:ascii="仿宋" w:hAnsi="仿宋" w:eastAsia="仿宋" w:cs="仿宋"/>
          <w:sz w:val="28"/>
          <w:szCs w:val="28"/>
          <w:highlight w:val="none"/>
          <w:lang w:bidi="ar"/>
        </w:rPr>
        <w:t>提升了学生职业视野和实践能力</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bidi="ar"/>
        </w:rPr>
        <w:t>帮助学生感知业界脉搏、明晰职业规划。三是鼓励学生自我提升，取得CPA、CFA、FRM、AFMA及证券/基金/期货从业资格等职业资格认证；</w:t>
      </w:r>
      <w:r>
        <w:rPr>
          <w:rFonts w:hint="eastAsia" w:ascii="仿宋" w:hAnsi="仿宋" w:eastAsia="仿宋" w:cs="仿宋"/>
          <w:sz w:val="28"/>
          <w:szCs w:val="28"/>
          <w:highlight w:val="none"/>
          <w:lang w:eastAsia="zh-CN" w:bidi="ar"/>
        </w:rPr>
        <w:t>多名同学在各项专业赛事中屡有斩获。</w:t>
      </w:r>
      <w:r>
        <w:rPr>
          <w:rFonts w:hint="eastAsia" w:ascii="仿宋" w:hAnsi="仿宋" w:eastAsia="仿宋" w:cs="仿宋"/>
          <w:sz w:val="28"/>
          <w:szCs w:val="28"/>
          <w:highlight w:val="none"/>
          <w:lang w:val="en-US" w:eastAsia="zh-CN" w:bidi="ar"/>
        </w:rPr>
        <w:t>获得</w:t>
      </w:r>
      <w:r>
        <w:rPr>
          <w:rFonts w:hint="eastAsia" w:ascii="仿宋" w:hAnsi="仿宋" w:eastAsia="仿宋"/>
          <w:sz w:val="28"/>
          <w:szCs w:val="28"/>
          <w:highlight w:val="none"/>
          <w:lang w:val="en-US" w:eastAsia="zh-CN"/>
        </w:rPr>
        <w:t>第四届求索杯全国大学生期权做市模拟交易大赛特等奖，</w:t>
      </w:r>
      <w:r>
        <w:rPr>
          <w:rFonts w:hint="eastAsia" w:ascii="仿宋" w:hAnsi="仿宋" w:eastAsia="仿宋"/>
          <w:sz w:val="28"/>
          <w:szCs w:val="28"/>
          <w:highlight w:val="none"/>
        </w:rPr>
        <w:t>“‘工e’助农普惠金融平台”获得</w:t>
      </w:r>
      <w:r>
        <w:rPr>
          <w:rFonts w:hint="eastAsia" w:ascii="仿宋" w:hAnsi="仿宋" w:eastAsia="仿宋" w:cs="仿宋"/>
          <w:sz w:val="28"/>
          <w:szCs w:val="28"/>
          <w:highlight w:val="none"/>
          <w:lang w:val="en-US" w:eastAsia="zh-CN" w:bidi="ar"/>
        </w:rPr>
        <w:t>2023</w:t>
      </w:r>
      <w:r>
        <w:rPr>
          <w:rFonts w:hint="eastAsia" w:ascii="仿宋" w:hAnsi="仿宋" w:eastAsia="仿宋"/>
          <w:sz w:val="28"/>
          <w:szCs w:val="28"/>
          <w:highlight w:val="none"/>
        </w:rPr>
        <w:t>工行杯全国特等奖。</w:t>
      </w:r>
      <w:r>
        <w:rPr>
          <w:rFonts w:hint="eastAsia" w:ascii="仿宋" w:hAnsi="仿宋" w:eastAsia="仿宋"/>
          <w:sz w:val="28"/>
          <w:szCs w:val="28"/>
          <w:highlight w:val="none"/>
          <w:lang w:eastAsia="zh-CN"/>
        </w:rPr>
        <w:t>四是加强产教融合培养模式的创新和研究，</w:t>
      </w:r>
      <w:r>
        <w:rPr>
          <w:rFonts w:hint="eastAsia" w:ascii="仿宋" w:hAnsi="仿宋" w:eastAsia="仿宋"/>
          <w:sz w:val="28"/>
          <w:szCs w:val="28"/>
          <w:highlight w:val="none"/>
        </w:rPr>
        <w:t>在2023年“中央高校教育教学改革专项”校级立项活动中，</w:t>
      </w:r>
      <w:r>
        <w:rPr>
          <w:rFonts w:hint="eastAsia" w:ascii="仿宋" w:hAnsi="仿宋" w:eastAsia="仿宋"/>
          <w:sz w:val="28"/>
          <w:szCs w:val="28"/>
          <w:highlight w:val="none"/>
          <w:lang w:eastAsia="zh-CN"/>
        </w:rPr>
        <w:t>本学位有</w:t>
      </w:r>
      <w:r>
        <w:rPr>
          <w:rFonts w:hint="eastAsia" w:ascii="仿宋" w:hAnsi="仿宋" w:eastAsia="仿宋"/>
          <w:sz w:val="28"/>
          <w:szCs w:val="28"/>
          <w:highlight w:val="none"/>
          <w:lang w:val="en-US" w:eastAsia="zh-CN"/>
        </w:rPr>
        <w:t>1个</w:t>
      </w:r>
      <w:r>
        <w:rPr>
          <w:rFonts w:hint="eastAsia" w:ascii="仿宋" w:hAnsi="仿宋" w:eastAsia="仿宋"/>
          <w:sz w:val="28"/>
          <w:szCs w:val="28"/>
          <w:highlight w:val="none"/>
          <w:lang w:eastAsia="zh-CN"/>
        </w:rPr>
        <w:t>“揭榜挂帅”重大项目、</w:t>
      </w:r>
      <w:r>
        <w:rPr>
          <w:rFonts w:hint="eastAsia" w:ascii="仿宋" w:hAnsi="仿宋" w:eastAsia="仿宋"/>
          <w:sz w:val="28"/>
          <w:szCs w:val="28"/>
          <w:highlight w:val="none"/>
          <w:lang w:val="en-US" w:eastAsia="zh-CN"/>
        </w:rPr>
        <w:t>1个“揭榜挂帅”培育项目获得立项获批，分别为《校企深度融合推动研究生高层次人才培养模式改革研究》（负责人：王天一）、《高质量专业学位硕士研究生人才培养模式创新研究》（负责人：唐宜红）；</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此外，本学位授权点已建立完善的研究生奖助学金评选办法，202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w:t>
      </w:r>
      <w:r>
        <w:rPr>
          <w:rFonts w:hint="eastAsia" w:ascii="仿宋" w:hAnsi="仿宋" w:eastAsia="仿宋" w:cs="仿宋"/>
          <w:sz w:val="28"/>
          <w:szCs w:val="28"/>
          <w:highlight w:val="none"/>
          <w:lang w:val="en-US" w:eastAsia="zh-CN" w:bidi="ar"/>
        </w:rPr>
        <w:t>392</w:t>
      </w:r>
      <w:r>
        <w:rPr>
          <w:rFonts w:hint="eastAsia" w:ascii="仿宋" w:hAnsi="仿宋" w:eastAsia="仿宋" w:cs="仿宋"/>
          <w:sz w:val="28"/>
          <w:szCs w:val="28"/>
          <w:highlight w:val="none"/>
          <w:lang w:bidi="ar"/>
        </w:rPr>
        <w:t>人次获奖学金</w:t>
      </w:r>
      <w:r>
        <w:rPr>
          <w:rFonts w:hint="eastAsia" w:ascii="仿宋" w:hAnsi="仿宋" w:eastAsia="仿宋" w:cs="仿宋"/>
          <w:sz w:val="28"/>
          <w:szCs w:val="28"/>
          <w:highlight w:val="none"/>
          <w:lang w:val="en-US" w:eastAsia="zh-CN" w:bidi="ar"/>
        </w:rPr>
        <w:t>373.6</w:t>
      </w:r>
      <w:r>
        <w:rPr>
          <w:rFonts w:hint="eastAsia" w:ascii="仿宋" w:hAnsi="仿宋" w:eastAsia="仿宋" w:cs="仿宋"/>
          <w:sz w:val="28"/>
          <w:szCs w:val="28"/>
          <w:highlight w:val="none"/>
          <w:lang w:bidi="ar"/>
        </w:rPr>
        <w:t>万，</w:t>
      </w:r>
      <w:bookmarkStart w:id="1" w:name="OLE_LINK1"/>
      <w:r>
        <w:rPr>
          <w:rFonts w:hint="eastAsia" w:ascii="仿宋" w:hAnsi="仿宋" w:eastAsia="仿宋" w:cs="仿宋"/>
          <w:sz w:val="28"/>
          <w:szCs w:val="28"/>
          <w:highlight w:val="none"/>
          <w:lang w:val="en-US" w:eastAsia="zh-CN" w:bidi="ar"/>
        </w:rPr>
        <w:t>471</w:t>
      </w:r>
      <w:r>
        <w:rPr>
          <w:rFonts w:hint="eastAsia" w:ascii="仿宋" w:hAnsi="仿宋" w:eastAsia="仿宋" w:cs="仿宋"/>
          <w:sz w:val="28"/>
          <w:szCs w:val="28"/>
          <w:highlight w:val="none"/>
          <w:lang w:bidi="ar"/>
        </w:rPr>
        <w:t>人次</w:t>
      </w:r>
      <w:bookmarkEnd w:id="1"/>
      <w:r>
        <w:rPr>
          <w:rFonts w:hint="eastAsia" w:ascii="仿宋" w:hAnsi="仿宋" w:eastAsia="仿宋" w:cs="仿宋"/>
          <w:sz w:val="28"/>
          <w:szCs w:val="28"/>
          <w:highlight w:val="none"/>
          <w:lang w:bidi="ar"/>
        </w:rPr>
        <w:t>获助学金</w:t>
      </w:r>
      <w:r>
        <w:rPr>
          <w:rFonts w:hint="eastAsia" w:ascii="仿宋" w:hAnsi="仿宋" w:eastAsia="仿宋" w:cs="仿宋"/>
          <w:sz w:val="28"/>
          <w:szCs w:val="28"/>
          <w:highlight w:val="none"/>
          <w:lang w:val="en-US" w:eastAsia="zh-CN" w:bidi="ar"/>
        </w:rPr>
        <w:t>282.6</w:t>
      </w:r>
      <w:r>
        <w:rPr>
          <w:rFonts w:hint="eastAsia" w:ascii="仿宋" w:hAnsi="仿宋" w:eastAsia="仿宋" w:cs="仿宋"/>
          <w:sz w:val="28"/>
          <w:szCs w:val="28"/>
          <w:highlight w:val="none"/>
          <w:lang w:bidi="ar"/>
        </w:rPr>
        <w:t>万。</w:t>
      </w:r>
      <w:bookmarkStart w:id="2" w:name="OLE_LINK4"/>
      <w:r>
        <w:rPr>
          <w:rFonts w:hint="eastAsia" w:ascii="仿宋" w:hAnsi="仿宋" w:eastAsia="仿宋" w:cs="仿宋"/>
          <w:sz w:val="28"/>
          <w:szCs w:val="28"/>
          <w:highlight w:val="none"/>
          <w:lang w:bidi="ar"/>
        </w:rPr>
        <w:t>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年，本学位获北京市优秀毕业生人数达</w:t>
      </w:r>
      <w:r>
        <w:rPr>
          <w:rFonts w:hint="eastAsia" w:ascii="仿宋" w:hAnsi="仿宋" w:eastAsia="仿宋" w:cs="仿宋"/>
          <w:sz w:val="28"/>
          <w:szCs w:val="28"/>
          <w:highlight w:val="none"/>
          <w:lang w:val="en-US" w:eastAsia="zh-CN" w:bidi="ar"/>
        </w:rPr>
        <w:t>22</w:t>
      </w:r>
      <w:r>
        <w:rPr>
          <w:rFonts w:hint="eastAsia" w:ascii="仿宋" w:hAnsi="仿宋" w:eastAsia="仿宋" w:cs="仿宋"/>
          <w:sz w:val="28"/>
          <w:szCs w:val="28"/>
          <w:highlight w:val="none"/>
          <w:lang w:bidi="ar"/>
        </w:rPr>
        <w:t>人。</w:t>
      </w:r>
      <w:bookmarkEnd w:id="2"/>
    </w:p>
    <w:p>
      <w:pPr>
        <w:pStyle w:val="3"/>
        <w:keepNext/>
        <w:keepLines/>
        <w:pageBreakBefore w:val="0"/>
        <w:widowControl/>
        <w:kinsoku/>
        <w:wordWrap/>
        <w:overflowPunct/>
        <w:topLinePunct w:val="0"/>
        <w:autoSpaceDE/>
        <w:autoSpaceDN/>
        <w:bidi w:val="0"/>
        <w:adjustRightInd w:val="0"/>
        <w:snapToGrid w:val="0"/>
        <w:spacing w:before="157" w:beforeLines="50" w:line="360" w:lineRule="auto"/>
        <w:ind w:left="0" w:firstLine="562" w:firstLineChars="200"/>
        <w:textAlignment w:val="auto"/>
        <w:rPr>
          <w:rStyle w:val="10"/>
          <w:rFonts w:hint="eastAsia"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（三）师资队伍建设</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eastAsia="zh-CN" w:bidi="ar"/>
        </w:rPr>
      </w:pPr>
      <w:r>
        <w:rPr>
          <w:rFonts w:hint="eastAsia" w:ascii="仿宋" w:hAnsi="仿宋" w:eastAsia="仿宋" w:cs="仿宋"/>
          <w:sz w:val="28"/>
          <w:szCs w:val="28"/>
          <w:highlight w:val="none"/>
          <w:lang w:bidi="ar"/>
        </w:rPr>
        <w:t>截至202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年底，本学位授权点专职教师17</w:t>
      </w:r>
      <w:r>
        <w:rPr>
          <w:rFonts w:hint="eastAsia" w:ascii="仿宋" w:hAnsi="仿宋" w:eastAsia="仿宋" w:cs="仿宋"/>
          <w:sz w:val="28"/>
          <w:szCs w:val="28"/>
          <w:highlight w:val="none"/>
          <w:lang w:val="en-US" w:eastAsia="zh-CN" w:bidi="ar"/>
        </w:rPr>
        <w:t>4</w:t>
      </w:r>
      <w:r>
        <w:rPr>
          <w:rFonts w:hint="eastAsia" w:ascii="仿宋" w:hAnsi="仿宋" w:eastAsia="仿宋" w:cs="仿宋"/>
          <w:sz w:val="28"/>
          <w:szCs w:val="28"/>
          <w:highlight w:val="none"/>
          <w:lang w:bidi="ar"/>
        </w:rPr>
        <w:t>人，6</w:t>
      </w:r>
      <w:r>
        <w:rPr>
          <w:rFonts w:hint="eastAsia" w:ascii="仿宋" w:hAnsi="仿宋" w:eastAsia="仿宋" w:cs="仿宋"/>
          <w:sz w:val="28"/>
          <w:szCs w:val="28"/>
          <w:highlight w:val="none"/>
          <w:lang w:val="en-US" w:eastAsia="zh-CN" w:bidi="ar"/>
        </w:rPr>
        <w:t>4</w:t>
      </w:r>
      <w:r>
        <w:rPr>
          <w:rFonts w:hint="eastAsia" w:ascii="仿宋" w:hAnsi="仿宋" w:eastAsia="仿宋" w:cs="仿宋"/>
          <w:sz w:val="28"/>
          <w:szCs w:val="28"/>
          <w:highlight w:val="none"/>
          <w:lang w:bidi="ar"/>
        </w:rPr>
        <w:t>%为45岁以下中青年教师，85%拥有国际背景或业界实践经验，70%</w:t>
      </w:r>
      <w:r>
        <w:rPr>
          <w:rFonts w:hint="eastAsia" w:ascii="仿宋" w:hAnsi="仿宋" w:eastAsia="仿宋" w:cs="仿宋"/>
          <w:sz w:val="28"/>
          <w:szCs w:val="28"/>
          <w:highlight w:val="none"/>
          <w:lang w:eastAsia="zh-CN" w:bidi="ar"/>
        </w:rPr>
        <w:t>以上</w:t>
      </w:r>
      <w:r>
        <w:rPr>
          <w:rFonts w:hint="eastAsia" w:ascii="仿宋" w:hAnsi="仿宋" w:eastAsia="仿宋" w:cs="仿宋"/>
          <w:sz w:val="28"/>
          <w:szCs w:val="28"/>
          <w:highlight w:val="none"/>
          <w:lang w:bidi="ar"/>
        </w:rPr>
        <w:t>为高级职称。校外导师</w:t>
      </w:r>
      <w:r>
        <w:rPr>
          <w:rFonts w:hint="eastAsia" w:ascii="仿宋" w:hAnsi="仿宋" w:eastAsia="仿宋" w:cs="仿宋"/>
          <w:sz w:val="28"/>
          <w:szCs w:val="28"/>
          <w:highlight w:val="none"/>
          <w:lang w:val="en-US" w:eastAsia="zh-CN" w:bidi="ar"/>
        </w:rPr>
        <w:t>225</w:t>
      </w:r>
      <w:r>
        <w:rPr>
          <w:rFonts w:hint="eastAsia" w:ascii="仿宋" w:hAnsi="仿宋" w:eastAsia="仿宋" w:cs="仿宋"/>
          <w:sz w:val="28"/>
          <w:szCs w:val="28"/>
          <w:highlight w:val="none"/>
          <w:lang w:bidi="ar"/>
        </w:rPr>
        <w:t>人，68%拥有博士学位，近半数拥有高级职称。</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本学位授权点认真学习教育部研究生导师“八条准则”，贯彻校内导师“第一责任人”要求，同时积极发挥校外导师作用。</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val="en-US" w:eastAsia="zh-CN" w:bidi="ar"/>
        </w:rPr>
        <w:t>一</w:t>
      </w:r>
      <w:r>
        <w:rPr>
          <w:rFonts w:hint="eastAsia" w:ascii="仿宋" w:hAnsi="仿宋" w:eastAsia="仿宋" w:cs="仿宋"/>
          <w:sz w:val="28"/>
          <w:szCs w:val="28"/>
          <w:highlight w:val="none"/>
          <w:lang w:bidi="ar"/>
        </w:rPr>
        <w:t>是师德建设常态化长效化。一方面立规矩、重学习、树榜样，202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本学位授权点全面落实校院两级《健全师德建设长效机制实施细则》和《师生交往行为规范》等文件；通过导师培训、专题会议及“师德主题月”系列活动，学习各级文件，签署《师德师风承诺书》；邀请北京市教学名师、师德榜样分享先进事迹，引领教师涵养家国情怀，坚守初心。另一方面严把关、抓监控、促奖励，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院级层面开展师德警示教育2次，各教师党支部也开展相应学习；通过学生座谈会，深度辅导与交流等方式畅通言路，保障师德工作的反馈与监督实效；针对师德失范事件进行严肃处理，并开展全院师德教育月系列活动；通过师德先进个人、三全育人等活动表彰优秀教师和团队，激励全体教师实践“为党育人、为国育才”。</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二是课程思政落到实处。202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本学位授权点全面修订更新研究生课程大纲，加入思政元素与案例；举办金融类专业课程思政案例教学设计展示，积极发动教师参加对外经贸大学课程思政教学大赛，学院率先举办初赛，黄晓薇、施一宁、席丹三位老师突破重围，获得参加校级大赛资格。</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三是“以老带新”共同进步。本学位授权点已形成货币金融、投资学、金融工程等成熟的教研团队，定期开展学术研讨，资深教授带领中青年教师合作编写出版《现代货币银行学》、《投资学》、《金融工程原理及应用》系列教材，支撑金融专硕、量化投资等项目发展。202</w:t>
      </w:r>
      <w:r>
        <w:rPr>
          <w:rFonts w:hint="eastAsia" w:ascii="仿宋" w:hAnsi="仿宋" w:eastAsia="仿宋" w:cs="仿宋"/>
          <w:sz w:val="28"/>
          <w:szCs w:val="28"/>
          <w:highlight w:val="none"/>
          <w:lang w:val="en-US" w:eastAsia="zh-CN" w:bidi="ar"/>
        </w:rPr>
        <w:t>3</w:t>
      </w:r>
      <w:r>
        <w:rPr>
          <w:rFonts w:hint="eastAsia" w:ascii="仿宋" w:hAnsi="仿宋" w:eastAsia="仿宋" w:cs="仿宋"/>
          <w:sz w:val="28"/>
          <w:szCs w:val="28"/>
          <w:highlight w:val="none"/>
          <w:lang w:bidi="ar"/>
        </w:rPr>
        <w:t>年多位新教师与资深教授结成师徒。</w:t>
      </w:r>
    </w:p>
    <w:p>
      <w:pPr>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四是</w:t>
      </w:r>
      <w:r>
        <w:rPr>
          <w:rFonts w:hint="eastAsia" w:ascii="仿宋" w:hAnsi="仿宋" w:eastAsia="仿宋" w:cs="仿宋"/>
          <w:sz w:val="28"/>
          <w:szCs w:val="28"/>
          <w:highlight w:val="none"/>
          <w:lang w:eastAsia="zh-CN" w:bidi="ar"/>
        </w:rPr>
        <w:t>加强校外导师队伍的建设，</w:t>
      </w:r>
      <w:r>
        <w:rPr>
          <w:rFonts w:hint="eastAsia" w:ascii="仿宋" w:hAnsi="仿宋" w:eastAsia="仿宋" w:cs="仿宋"/>
          <w:sz w:val="28"/>
          <w:szCs w:val="28"/>
          <w:highlight w:val="none"/>
          <w:lang w:val="en-US" w:eastAsia="zh-CN" w:bidi="ar"/>
        </w:rPr>
        <w:t>2023年秋季</w:t>
      </w:r>
      <w:r>
        <w:rPr>
          <w:rFonts w:hint="eastAsia" w:ascii="仿宋" w:hAnsi="仿宋" w:eastAsia="仿宋" w:cs="仿宋"/>
          <w:sz w:val="28"/>
          <w:szCs w:val="28"/>
          <w:highlight w:val="none"/>
          <w:lang w:bidi="ar"/>
        </w:rPr>
        <w:t>开展第二届金融学院外导圆桌论坛，共计举办分论坛4场。30多外校内外导师与20多位学生代表共聚一堂，从产教融合角度探讨业界各领域与专硕人才培养的深层次合作路径。通过这种深度交流，加强了学院与校外导师之间的联系，激发了校外导师对人才培养的热情，让校外导师这个宝库真正流动起来，与学院共同推动专硕人才培养。</w:t>
      </w:r>
    </w:p>
    <w:p>
      <w:pPr>
        <w:pStyle w:val="3"/>
        <w:widowControl/>
        <w:adjustRightInd w:val="0"/>
        <w:snapToGrid w:val="0"/>
        <w:spacing w:before="157" w:beforeLines="50" w:line="360" w:lineRule="auto"/>
        <w:ind w:firstLine="562" w:firstLineChars="200"/>
        <w:rPr>
          <w:rStyle w:val="10"/>
          <w:rFonts w:hint="eastAsia"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（四）科学研究</w:t>
      </w:r>
    </w:p>
    <w:p>
      <w:pPr>
        <w:widowControl/>
        <w:adjustRightInd w:val="0"/>
        <w:snapToGrid w:val="0"/>
        <w:spacing w:before="0" w:line="360" w:lineRule="auto"/>
        <w:ind w:firstLine="560" w:firstLineChars="200"/>
        <w:rPr>
          <w:rStyle w:val="9"/>
          <w:rFonts w:hint="eastAsia" w:ascii="仿宋" w:hAnsi="仿宋" w:eastAsia="仿宋" w:cs="仿宋"/>
          <w:b w:val="0"/>
          <w:bCs w:val="0"/>
          <w:sz w:val="28"/>
          <w:szCs w:val="28"/>
          <w:highlight w:val="none"/>
        </w:rPr>
      </w:pPr>
      <w:r>
        <w:rPr>
          <w:rStyle w:val="9"/>
          <w:rFonts w:hint="eastAsia" w:ascii="仿宋" w:hAnsi="仿宋" w:eastAsia="仿宋" w:cs="仿宋"/>
          <w:b w:val="0"/>
          <w:bCs w:val="0"/>
          <w:sz w:val="28"/>
          <w:szCs w:val="28"/>
          <w:highlight w:val="none"/>
        </w:rPr>
        <w:t>高水平科研成果不断涌现，202</w:t>
      </w:r>
      <w:r>
        <w:rPr>
          <w:rStyle w:val="9"/>
          <w:rFonts w:hint="eastAsia" w:ascii="仿宋" w:hAnsi="仿宋" w:eastAsia="仿宋" w:cs="仿宋"/>
          <w:b w:val="0"/>
          <w:bCs w:val="0"/>
          <w:sz w:val="28"/>
          <w:szCs w:val="28"/>
          <w:highlight w:val="none"/>
          <w:lang w:val="en-US" w:eastAsia="zh-CN"/>
        </w:rPr>
        <w:t>3</w:t>
      </w:r>
      <w:r>
        <w:rPr>
          <w:rStyle w:val="9"/>
          <w:rFonts w:hint="eastAsia" w:ascii="仿宋" w:hAnsi="仿宋" w:eastAsia="仿宋" w:cs="仿宋"/>
          <w:b w:val="0"/>
          <w:bCs w:val="0"/>
          <w:sz w:val="28"/>
          <w:szCs w:val="28"/>
          <w:highlight w:val="none"/>
        </w:rPr>
        <w:t>年</w:t>
      </w:r>
      <w:r>
        <w:rPr>
          <w:rStyle w:val="9"/>
          <w:rFonts w:hint="eastAsia" w:ascii="仿宋" w:hAnsi="仿宋" w:eastAsia="仿宋" w:cs="仿宋"/>
          <w:b w:val="0"/>
          <w:bCs w:val="0"/>
          <w:sz w:val="28"/>
          <w:szCs w:val="28"/>
          <w:highlight w:val="none"/>
          <w:lang w:eastAsia="zh-CN"/>
        </w:rPr>
        <w:t>本学位专职教师</w:t>
      </w:r>
      <w:r>
        <w:rPr>
          <w:rStyle w:val="9"/>
          <w:rFonts w:hint="eastAsia" w:ascii="仿宋" w:hAnsi="仿宋" w:eastAsia="仿宋" w:cs="仿宋"/>
          <w:b w:val="0"/>
          <w:bCs w:val="0"/>
          <w:sz w:val="28"/>
          <w:szCs w:val="28"/>
          <w:highlight w:val="none"/>
        </w:rPr>
        <w:t>共发表论文</w:t>
      </w:r>
      <w:r>
        <w:rPr>
          <w:rStyle w:val="9"/>
          <w:rFonts w:hint="eastAsia" w:ascii="仿宋" w:hAnsi="仿宋" w:eastAsia="仿宋" w:cs="仿宋"/>
          <w:b w:val="0"/>
          <w:bCs w:val="0"/>
          <w:sz w:val="28"/>
          <w:szCs w:val="28"/>
          <w:highlight w:val="none"/>
          <w:lang w:val="en-US" w:eastAsia="zh-CN"/>
        </w:rPr>
        <w:t>190多</w:t>
      </w:r>
      <w:r>
        <w:rPr>
          <w:rStyle w:val="9"/>
          <w:rFonts w:hint="eastAsia" w:ascii="仿宋" w:hAnsi="仿宋" w:eastAsia="仿宋" w:cs="仿宋"/>
          <w:b w:val="0"/>
          <w:bCs w:val="0"/>
          <w:sz w:val="28"/>
          <w:szCs w:val="28"/>
          <w:highlight w:val="none"/>
        </w:rPr>
        <w:t>篇，其中</w:t>
      </w:r>
      <w:r>
        <w:rPr>
          <w:rStyle w:val="9"/>
          <w:rFonts w:hint="eastAsia" w:ascii="仿宋" w:hAnsi="仿宋" w:eastAsia="仿宋" w:cs="仿宋"/>
          <w:b w:val="0"/>
          <w:bCs w:val="0"/>
          <w:sz w:val="28"/>
          <w:szCs w:val="28"/>
          <w:highlight w:val="none"/>
          <w:lang w:val="en-US" w:eastAsia="zh-CN"/>
        </w:rPr>
        <w:t>40多</w:t>
      </w:r>
      <w:r>
        <w:rPr>
          <w:rStyle w:val="9"/>
          <w:rFonts w:hint="eastAsia" w:ascii="仿宋" w:hAnsi="仿宋" w:eastAsia="仿宋" w:cs="仿宋"/>
          <w:b w:val="0"/>
          <w:bCs w:val="0"/>
          <w:sz w:val="28"/>
          <w:szCs w:val="28"/>
          <w:highlight w:val="none"/>
        </w:rPr>
        <w:t>篇发表在</w:t>
      </w:r>
      <w:r>
        <w:rPr>
          <w:rStyle w:val="9"/>
          <w:rFonts w:hint="eastAsia" w:ascii="仿宋" w:hAnsi="仿宋" w:eastAsia="仿宋" w:cs="仿宋"/>
          <w:b w:val="0"/>
          <w:bCs w:val="0"/>
          <w:sz w:val="28"/>
          <w:szCs w:val="28"/>
          <w:highlight w:val="none"/>
          <w:lang w:val="en-US" w:eastAsia="zh-CN"/>
        </w:rPr>
        <w:t>JF、</w:t>
      </w:r>
      <w:r>
        <w:rPr>
          <w:rStyle w:val="9"/>
          <w:rFonts w:hint="eastAsia" w:ascii="仿宋" w:hAnsi="仿宋" w:eastAsia="仿宋" w:cs="仿宋"/>
          <w:b w:val="0"/>
          <w:bCs w:val="0"/>
          <w:sz w:val="28"/>
          <w:szCs w:val="28"/>
          <w:highlight w:val="none"/>
        </w:rPr>
        <w:t>JFQA、MS、</w:t>
      </w:r>
      <w:r>
        <w:rPr>
          <w:rStyle w:val="9"/>
          <w:rFonts w:hint="eastAsia" w:ascii="仿宋" w:hAnsi="仿宋" w:eastAsia="仿宋" w:cs="仿宋"/>
          <w:b w:val="0"/>
          <w:bCs w:val="0"/>
          <w:sz w:val="28"/>
          <w:szCs w:val="28"/>
          <w:highlight w:val="none"/>
          <w:lang w:val="en-US" w:eastAsia="zh-CN"/>
        </w:rPr>
        <w:t>JBES</w:t>
      </w:r>
      <w:r>
        <w:rPr>
          <w:rStyle w:val="9"/>
          <w:rFonts w:hint="eastAsia" w:ascii="仿宋" w:hAnsi="仿宋" w:eastAsia="仿宋" w:cs="仿宋"/>
          <w:b w:val="0"/>
          <w:bCs w:val="0"/>
          <w:sz w:val="28"/>
          <w:szCs w:val="28"/>
          <w:highlight w:val="none"/>
        </w:rPr>
        <w:t>、</w:t>
      </w:r>
      <w:r>
        <w:rPr>
          <w:rStyle w:val="9"/>
          <w:rFonts w:hint="eastAsia" w:ascii="仿宋" w:hAnsi="仿宋" w:eastAsia="仿宋" w:cs="仿宋"/>
          <w:b w:val="0"/>
          <w:bCs w:val="0"/>
          <w:sz w:val="28"/>
          <w:szCs w:val="28"/>
          <w:highlight w:val="none"/>
          <w:lang w:eastAsia="zh-CN"/>
        </w:rPr>
        <w:t>经济学（季刊）、</w:t>
      </w:r>
      <w:r>
        <w:rPr>
          <w:rStyle w:val="9"/>
          <w:rFonts w:hint="eastAsia" w:ascii="仿宋" w:hAnsi="仿宋" w:eastAsia="仿宋" w:cs="仿宋"/>
          <w:b w:val="0"/>
          <w:bCs w:val="0"/>
          <w:sz w:val="28"/>
          <w:szCs w:val="28"/>
          <w:highlight w:val="none"/>
        </w:rPr>
        <w:t>金融研究</w:t>
      </w:r>
      <w:r>
        <w:rPr>
          <w:rStyle w:val="9"/>
          <w:rFonts w:hint="eastAsia" w:ascii="仿宋" w:hAnsi="仿宋" w:eastAsia="仿宋" w:cs="仿宋"/>
          <w:b w:val="0"/>
          <w:bCs w:val="0"/>
          <w:sz w:val="28"/>
          <w:szCs w:val="28"/>
          <w:highlight w:val="none"/>
          <w:lang w:eastAsia="zh-CN"/>
        </w:rPr>
        <w:t>、世界经济</w:t>
      </w:r>
      <w:r>
        <w:rPr>
          <w:rStyle w:val="9"/>
          <w:rFonts w:hint="eastAsia" w:ascii="仿宋" w:hAnsi="仿宋" w:eastAsia="仿宋" w:cs="仿宋"/>
          <w:b w:val="0"/>
          <w:bCs w:val="0"/>
          <w:sz w:val="28"/>
          <w:szCs w:val="28"/>
          <w:highlight w:val="none"/>
        </w:rPr>
        <w:t>等国内外一流期刊；出版专著2部、教材1部、编著2部；获各级各类纵向项目</w:t>
      </w:r>
      <w:r>
        <w:rPr>
          <w:rStyle w:val="9"/>
          <w:rFonts w:hint="eastAsia" w:ascii="仿宋" w:hAnsi="仿宋" w:eastAsia="仿宋" w:cs="仿宋"/>
          <w:b w:val="0"/>
          <w:bCs w:val="0"/>
          <w:sz w:val="28"/>
          <w:szCs w:val="28"/>
          <w:highlight w:val="none"/>
          <w:lang w:val="en-US" w:eastAsia="zh-CN"/>
        </w:rPr>
        <w:t>28</w:t>
      </w:r>
      <w:r>
        <w:rPr>
          <w:rStyle w:val="9"/>
          <w:rFonts w:hint="eastAsia" w:ascii="仿宋" w:hAnsi="仿宋" w:eastAsia="仿宋" w:cs="仿宋"/>
          <w:b w:val="0"/>
          <w:bCs w:val="0"/>
          <w:sz w:val="28"/>
          <w:szCs w:val="28"/>
          <w:highlight w:val="none"/>
        </w:rPr>
        <w:t>项，其中省部级以上项目</w:t>
      </w:r>
      <w:r>
        <w:rPr>
          <w:rStyle w:val="9"/>
          <w:rFonts w:hint="eastAsia" w:ascii="仿宋" w:hAnsi="仿宋" w:eastAsia="仿宋" w:cs="仿宋"/>
          <w:b w:val="0"/>
          <w:bCs w:val="0"/>
          <w:sz w:val="28"/>
          <w:szCs w:val="28"/>
          <w:highlight w:val="none"/>
          <w:lang w:val="en-US" w:eastAsia="zh-CN"/>
        </w:rPr>
        <w:t>23</w:t>
      </w:r>
      <w:r>
        <w:rPr>
          <w:rStyle w:val="9"/>
          <w:rFonts w:hint="eastAsia" w:ascii="仿宋" w:hAnsi="仿宋" w:eastAsia="仿宋" w:cs="仿宋"/>
          <w:b w:val="0"/>
          <w:bCs w:val="0"/>
          <w:sz w:val="28"/>
          <w:szCs w:val="28"/>
          <w:highlight w:val="none"/>
        </w:rPr>
        <w:t>项；横向课题获</w:t>
      </w:r>
      <w:r>
        <w:rPr>
          <w:rStyle w:val="9"/>
          <w:rFonts w:hint="eastAsia" w:ascii="仿宋" w:hAnsi="仿宋" w:eastAsia="仿宋" w:cs="仿宋"/>
          <w:b w:val="0"/>
          <w:bCs w:val="0"/>
          <w:sz w:val="28"/>
          <w:szCs w:val="28"/>
          <w:highlight w:val="none"/>
          <w:lang w:eastAsia="zh-CN"/>
        </w:rPr>
        <w:t>财政部、北京市发改委、中国建设银行、中粮期货</w:t>
      </w:r>
      <w:r>
        <w:rPr>
          <w:rStyle w:val="9"/>
          <w:rFonts w:hint="eastAsia" w:ascii="仿宋" w:hAnsi="仿宋" w:eastAsia="仿宋" w:cs="仿宋"/>
          <w:b w:val="0"/>
          <w:bCs w:val="0"/>
          <w:sz w:val="28"/>
          <w:szCs w:val="28"/>
          <w:highlight w:val="none"/>
        </w:rPr>
        <w:t>等</w:t>
      </w:r>
      <w:r>
        <w:rPr>
          <w:rStyle w:val="9"/>
          <w:rFonts w:hint="eastAsia" w:ascii="仿宋" w:hAnsi="仿宋" w:eastAsia="仿宋" w:cs="仿宋"/>
          <w:b w:val="0"/>
          <w:bCs w:val="0"/>
          <w:sz w:val="28"/>
          <w:szCs w:val="28"/>
          <w:highlight w:val="none"/>
          <w:lang w:eastAsia="zh-CN"/>
        </w:rPr>
        <w:t>机关及</w:t>
      </w:r>
      <w:r>
        <w:rPr>
          <w:rStyle w:val="9"/>
          <w:rFonts w:hint="eastAsia" w:ascii="仿宋" w:hAnsi="仿宋" w:eastAsia="仿宋" w:cs="仿宋"/>
          <w:b w:val="0"/>
          <w:bCs w:val="0"/>
          <w:sz w:val="28"/>
          <w:szCs w:val="28"/>
          <w:highlight w:val="none"/>
        </w:rPr>
        <w:t>企事业单位</w:t>
      </w:r>
      <w:r>
        <w:rPr>
          <w:rStyle w:val="9"/>
          <w:rFonts w:hint="eastAsia" w:ascii="仿宋" w:hAnsi="仿宋" w:eastAsia="仿宋" w:cs="仿宋"/>
          <w:b w:val="0"/>
          <w:bCs w:val="0"/>
          <w:sz w:val="28"/>
          <w:szCs w:val="28"/>
          <w:highlight w:val="none"/>
          <w:lang w:val="en-US" w:eastAsia="zh-CN"/>
        </w:rPr>
        <w:t>13</w:t>
      </w:r>
      <w:r>
        <w:rPr>
          <w:rStyle w:val="9"/>
          <w:rFonts w:hint="eastAsia" w:ascii="仿宋" w:hAnsi="仿宋" w:eastAsia="仿宋" w:cs="仿宋"/>
          <w:b w:val="0"/>
          <w:bCs w:val="0"/>
          <w:sz w:val="28"/>
          <w:szCs w:val="28"/>
          <w:highlight w:val="none"/>
        </w:rPr>
        <w:t>项；</w:t>
      </w:r>
      <w:r>
        <w:rPr>
          <w:rStyle w:val="9"/>
          <w:rFonts w:hint="eastAsia" w:ascii="仿宋" w:hAnsi="仿宋" w:eastAsia="仿宋" w:cs="仿宋"/>
          <w:b w:val="0"/>
          <w:bCs w:val="0"/>
          <w:sz w:val="28"/>
          <w:szCs w:val="28"/>
          <w:highlight w:val="none"/>
          <w:lang w:val="en-US" w:eastAsia="zh-CN"/>
        </w:rPr>
        <w:t>1位老师的研究报告获中央领导批示，并最终被采纳</w:t>
      </w:r>
      <w:r>
        <w:rPr>
          <w:rStyle w:val="9"/>
          <w:rFonts w:hint="eastAsia" w:ascii="仿宋" w:hAnsi="仿宋" w:eastAsia="仿宋" w:cs="仿宋"/>
          <w:b w:val="0"/>
          <w:bCs w:val="0"/>
          <w:sz w:val="28"/>
          <w:szCs w:val="28"/>
          <w:highlight w:val="none"/>
        </w:rPr>
        <w:t>。</w:t>
      </w:r>
    </w:p>
    <w:p>
      <w:pPr>
        <w:widowControl/>
        <w:adjustRightInd w:val="0"/>
        <w:snapToGrid w:val="0"/>
        <w:spacing w:before="0" w:line="360" w:lineRule="auto"/>
        <w:ind w:firstLine="560" w:firstLineChars="200"/>
        <w:rPr>
          <w:rStyle w:val="9"/>
          <w:rFonts w:hint="eastAsia" w:ascii="仿宋" w:hAnsi="仿宋" w:eastAsia="仿宋" w:cs="仿宋"/>
          <w:b w:val="0"/>
          <w:bCs w:val="0"/>
          <w:sz w:val="28"/>
          <w:szCs w:val="28"/>
          <w:highlight w:val="none"/>
        </w:rPr>
      </w:pPr>
      <w:r>
        <w:rPr>
          <w:rStyle w:val="9"/>
          <w:rFonts w:hint="eastAsia" w:ascii="仿宋" w:hAnsi="仿宋" w:eastAsia="仿宋" w:cs="仿宋"/>
          <w:b w:val="0"/>
          <w:bCs w:val="0"/>
          <w:sz w:val="28"/>
          <w:szCs w:val="28"/>
          <w:highlight w:val="none"/>
        </w:rPr>
        <w:t>学术会议方面，举办第</w:t>
      </w:r>
      <w:r>
        <w:rPr>
          <w:rStyle w:val="9"/>
          <w:rFonts w:hint="eastAsia" w:ascii="仿宋" w:hAnsi="仿宋" w:eastAsia="仿宋" w:cs="仿宋"/>
          <w:b w:val="0"/>
          <w:bCs w:val="0"/>
          <w:sz w:val="28"/>
          <w:szCs w:val="28"/>
          <w:highlight w:val="none"/>
          <w:lang w:val="en-US" w:eastAsia="zh-CN"/>
        </w:rPr>
        <w:t>五</w:t>
      </w:r>
      <w:r>
        <w:rPr>
          <w:rStyle w:val="9"/>
          <w:rFonts w:hint="eastAsia" w:ascii="仿宋" w:hAnsi="仿宋" w:eastAsia="仿宋" w:cs="仿宋"/>
          <w:b w:val="0"/>
          <w:bCs w:val="0"/>
          <w:sz w:val="28"/>
          <w:szCs w:val="28"/>
          <w:highlight w:val="none"/>
        </w:rPr>
        <w:t>届中国金融学术与政策论坛、第</w:t>
      </w:r>
      <w:r>
        <w:rPr>
          <w:rStyle w:val="9"/>
          <w:rFonts w:hint="eastAsia" w:ascii="仿宋" w:hAnsi="仿宋" w:eastAsia="仿宋" w:cs="仿宋"/>
          <w:b w:val="0"/>
          <w:bCs w:val="0"/>
          <w:sz w:val="28"/>
          <w:szCs w:val="28"/>
          <w:highlight w:val="none"/>
          <w:lang w:val="en-US" w:eastAsia="zh-CN"/>
        </w:rPr>
        <w:t>三</w:t>
      </w:r>
      <w:r>
        <w:rPr>
          <w:rStyle w:val="9"/>
          <w:rFonts w:hint="eastAsia" w:ascii="仿宋" w:hAnsi="仿宋" w:eastAsia="仿宋" w:cs="仿宋"/>
          <w:b w:val="0"/>
          <w:bCs w:val="0"/>
          <w:sz w:val="28"/>
          <w:szCs w:val="28"/>
          <w:highlight w:val="none"/>
        </w:rPr>
        <w:t>届银行与金融中介论坛</w:t>
      </w:r>
      <w:r>
        <w:rPr>
          <w:rStyle w:val="9"/>
          <w:rFonts w:hint="eastAsia" w:ascii="仿宋" w:hAnsi="仿宋" w:eastAsia="仿宋" w:cs="仿宋"/>
          <w:b w:val="0"/>
          <w:bCs w:val="0"/>
          <w:sz w:val="28"/>
          <w:szCs w:val="28"/>
          <w:highlight w:val="none"/>
          <w:lang w:eastAsia="zh-CN"/>
        </w:rPr>
        <w:t>、</w:t>
      </w:r>
      <w:r>
        <w:rPr>
          <w:rStyle w:val="9"/>
          <w:rFonts w:hint="eastAsia" w:ascii="仿宋" w:hAnsi="仿宋" w:eastAsia="仿宋"/>
          <w:b w:val="0"/>
          <w:bCs w:val="0"/>
          <w:sz w:val="28"/>
          <w:szCs w:val="28"/>
          <w:highlight w:val="none"/>
          <w:lang w:eastAsia="zh-CN"/>
        </w:rPr>
        <w:t>金融工程与金融科技论坛、</w:t>
      </w:r>
      <w:r>
        <w:rPr>
          <w:rStyle w:val="9"/>
          <w:rFonts w:hint="eastAsia" w:ascii="仿宋" w:hAnsi="仿宋" w:eastAsia="仿宋" w:cs="仿宋"/>
          <w:b w:val="0"/>
          <w:bCs w:val="0"/>
          <w:sz w:val="28"/>
          <w:szCs w:val="28"/>
          <w:highlight w:val="none"/>
          <w:lang w:val="en-US" w:eastAsia="zh-CN"/>
        </w:rPr>
        <w:t>第一届</w:t>
      </w:r>
      <w:r>
        <w:rPr>
          <w:rStyle w:val="9"/>
          <w:rFonts w:hint="eastAsia" w:ascii="仿宋" w:hAnsi="仿宋" w:eastAsia="仿宋"/>
          <w:b w:val="0"/>
          <w:bCs w:val="0"/>
          <w:sz w:val="28"/>
          <w:szCs w:val="28"/>
          <w:highlight w:val="none"/>
          <w:lang w:eastAsia="zh-CN"/>
        </w:rPr>
        <w:t>国际资本市场暨负责任科学论坛</w:t>
      </w:r>
      <w:r>
        <w:rPr>
          <w:rStyle w:val="9"/>
          <w:rFonts w:hint="eastAsia" w:ascii="仿宋" w:hAnsi="仿宋" w:eastAsia="仿宋" w:cs="仿宋"/>
          <w:b w:val="0"/>
          <w:bCs w:val="0"/>
          <w:sz w:val="28"/>
          <w:szCs w:val="28"/>
          <w:highlight w:val="none"/>
        </w:rPr>
        <w:t>。</w:t>
      </w:r>
    </w:p>
    <w:p>
      <w:pPr>
        <w:widowControl/>
        <w:adjustRightInd w:val="0"/>
        <w:snapToGrid w:val="0"/>
        <w:spacing w:before="0" w:line="360" w:lineRule="auto"/>
        <w:ind w:firstLine="560" w:firstLineChars="200"/>
        <w:rPr>
          <w:rStyle w:val="9"/>
          <w:rFonts w:hint="eastAsia" w:ascii="仿宋" w:hAnsi="仿宋" w:eastAsia="仿宋" w:cs="仿宋"/>
          <w:b w:val="0"/>
          <w:bCs w:val="0"/>
          <w:sz w:val="28"/>
          <w:szCs w:val="28"/>
          <w:highlight w:val="none"/>
          <w:lang w:eastAsia="zh-CN"/>
        </w:rPr>
      </w:pPr>
      <w:r>
        <w:rPr>
          <w:rStyle w:val="9"/>
          <w:rFonts w:hint="eastAsia" w:ascii="仿宋" w:hAnsi="仿宋" w:eastAsia="仿宋" w:cs="仿宋"/>
          <w:b w:val="0"/>
          <w:bCs w:val="0"/>
          <w:sz w:val="28"/>
          <w:szCs w:val="28"/>
          <w:highlight w:val="none"/>
        </w:rPr>
        <w:t>研究生学术训练方面，一是全面修订培养方案，增加学分用于强化学生的学术训练，升级《研究生论文写作》为必修课，增设《因果推断》等方法论课程；二是邀请国际A类期刊为硕士生开设</w:t>
      </w:r>
      <w:r>
        <w:rPr>
          <w:rStyle w:val="9"/>
          <w:rFonts w:hint="eastAsia" w:ascii="仿宋" w:hAnsi="仿宋" w:eastAsia="仿宋"/>
          <w:b w:val="0"/>
          <w:bCs w:val="0"/>
          <w:sz w:val="28"/>
          <w:szCs w:val="28"/>
          <w:highlight w:val="none"/>
        </w:rPr>
        <w:t>科研工作坊和主编工作坊各1次</w:t>
      </w:r>
      <w:r>
        <w:rPr>
          <w:rStyle w:val="9"/>
          <w:rFonts w:hint="eastAsia" w:ascii="仿宋" w:hAnsi="仿宋" w:eastAsia="仿宋" w:cs="仿宋"/>
          <w:b w:val="0"/>
          <w:bCs w:val="0"/>
          <w:sz w:val="28"/>
          <w:szCs w:val="28"/>
          <w:highlight w:val="none"/>
        </w:rPr>
        <w:t>；三是以“SBF学术论坛”和“贸大金融求实沙龙”，把学生带到学术最前沿，同时了解金融实践中的政策、经验与案例</w:t>
      </w:r>
      <w:r>
        <w:rPr>
          <w:rStyle w:val="9"/>
          <w:rFonts w:hint="eastAsia" w:ascii="仿宋" w:hAnsi="仿宋" w:eastAsia="仿宋" w:cs="仿宋"/>
          <w:b w:val="0"/>
          <w:bCs w:val="0"/>
          <w:sz w:val="28"/>
          <w:szCs w:val="28"/>
          <w:highlight w:val="none"/>
          <w:lang w:eastAsia="zh-CN"/>
        </w:rPr>
        <w:t>。</w:t>
      </w:r>
    </w:p>
    <w:p>
      <w:pPr>
        <w:pStyle w:val="3"/>
        <w:widowControl/>
        <w:adjustRightInd w:val="0"/>
        <w:snapToGrid w:val="0"/>
        <w:spacing w:before="157" w:beforeLines="50" w:line="360" w:lineRule="auto"/>
        <w:ind w:firstLine="562" w:firstLineChars="200"/>
        <w:rPr>
          <w:rStyle w:val="10"/>
          <w:rFonts w:hint="eastAsia"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（五）社会服务</w:t>
      </w:r>
    </w:p>
    <w:p>
      <w:pPr>
        <w:widowControl/>
        <w:adjustRightInd w:val="0"/>
        <w:snapToGrid w:val="0"/>
        <w:spacing w:before="0" w:line="360" w:lineRule="auto"/>
        <w:ind w:firstLine="560" w:firstLineChars="200"/>
        <w:rPr>
          <w:rStyle w:val="9"/>
          <w:rFonts w:hint="eastAsia" w:ascii="仿宋" w:hAnsi="仿宋" w:eastAsia="仿宋"/>
          <w:b w:val="0"/>
          <w:bCs w:val="0"/>
          <w:sz w:val="28"/>
          <w:szCs w:val="28"/>
          <w:highlight w:val="none"/>
        </w:rPr>
      </w:pPr>
      <w:r>
        <w:rPr>
          <w:rStyle w:val="9"/>
          <w:rFonts w:hint="eastAsia" w:ascii="仿宋" w:hAnsi="仿宋" w:eastAsia="仿宋"/>
          <w:b w:val="0"/>
          <w:bCs w:val="0"/>
          <w:sz w:val="28"/>
          <w:szCs w:val="28"/>
          <w:highlight w:val="none"/>
        </w:rPr>
        <w:t>在人才培养的主战场之外，我院金融专硕也利用本学科师资和应用性科学研究的优势，积极提供各项社会服务。</w:t>
      </w:r>
    </w:p>
    <w:p>
      <w:pPr>
        <w:widowControl/>
        <w:adjustRightInd w:val="0"/>
        <w:snapToGrid w:val="0"/>
        <w:spacing w:before="0" w:line="360" w:lineRule="auto"/>
        <w:ind w:firstLine="560" w:firstLineChars="200"/>
        <w:rPr>
          <w:rStyle w:val="9"/>
          <w:rFonts w:hint="eastAsia" w:ascii="仿宋" w:hAnsi="仿宋" w:eastAsia="仿宋"/>
          <w:b w:val="0"/>
          <w:bCs w:val="0"/>
          <w:sz w:val="28"/>
          <w:szCs w:val="28"/>
          <w:highlight w:val="none"/>
        </w:rPr>
      </w:pPr>
      <w:r>
        <w:rPr>
          <w:rStyle w:val="9"/>
          <w:rFonts w:hint="eastAsia" w:ascii="仿宋" w:hAnsi="仿宋" w:eastAsia="仿宋"/>
          <w:b w:val="0"/>
          <w:bCs w:val="0"/>
          <w:sz w:val="28"/>
          <w:szCs w:val="28"/>
          <w:highlight w:val="none"/>
        </w:rPr>
        <w:t>2023年，本学科为财政部、北京市发改委及中粮期货有限公司等企事业单位提供智库服务</w:t>
      </w:r>
      <w:r>
        <w:rPr>
          <w:rStyle w:val="9"/>
          <w:rFonts w:hint="eastAsia" w:ascii="仿宋" w:hAnsi="仿宋" w:eastAsia="仿宋"/>
          <w:b w:val="0"/>
          <w:bCs w:val="0"/>
          <w:sz w:val="28"/>
          <w:szCs w:val="28"/>
          <w:highlight w:val="none"/>
          <w:lang w:val="en-US" w:eastAsia="zh-CN"/>
        </w:rPr>
        <w:t>13</w:t>
      </w:r>
      <w:r>
        <w:rPr>
          <w:rStyle w:val="9"/>
          <w:rFonts w:hint="eastAsia" w:ascii="仿宋" w:hAnsi="仿宋" w:eastAsia="仿宋"/>
          <w:b w:val="0"/>
          <w:bCs w:val="0"/>
          <w:sz w:val="28"/>
          <w:szCs w:val="28"/>
          <w:highlight w:val="none"/>
        </w:rPr>
        <w:t>项，相关研究报告被采纳。其中，1项报告被国务院采纳。</w:t>
      </w:r>
    </w:p>
    <w:p>
      <w:pPr>
        <w:widowControl/>
        <w:adjustRightInd w:val="0"/>
        <w:snapToGrid w:val="0"/>
        <w:spacing w:before="0" w:line="360" w:lineRule="auto"/>
        <w:ind w:firstLine="560" w:firstLineChars="200"/>
        <w:rPr>
          <w:rStyle w:val="9"/>
          <w:rFonts w:hint="eastAsia" w:ascii="仿宋" w:hAnsi="仿宋" w:eastAsia="仿宋" w:cs="仿宋"/>
          <w:b w:val="0"/>
          <w:bCs w:val="0"/>
          <w:sz w:val="28"/>
          <w:szCs w:val="28"/>
          <w:highlight w:val="none"/>
        </w:rPr>
      </w:pPr>
      <w:r>
        <w:rPr>
          <w:rStyle w:val="9"/>
          <w:rFonts w:hint="eastAsia" w:ascii="仿宋" w:hAnsi="仿宋" w:eastAsia="仿宋"/>
          <w:b w:val="0"/>
          <w:bCs w:val="0"/>
          <w:sz w:val="28"/>
          <w:szCs w:val="28"/>
          <w:highlight w:val="none"/>
        </w:rPr>
        <w:t>挂职支教方面，冯晓琦</w:t>
      </w:r>
      <w:r>
        <w:rPr>
          <w:rStyle w:val="9"/>
          <w:rFonts w:hint="eastAsia" w:ascii="仿宋" w:hAnsi="仿宋" w:eastAsia="仿宋"/>
          <w:b w:val="0"/>
          <w:bCs w:val="0"/>
          <w:sz w:val="28"/>
          <w:szCs w:val="28"/>
          <w:highlight w:val="none"/>
          <w:lang w:eastAsia="zh-CN"/>
        </w:rPr>
        <w:t>、郭红玉、齐天翔</w:t>
      </w:r>
      <w:r>
        <w:rPr>
          <w:rStyle w:val="9"/>
          <w:rFonts w:hint="eastAsia" w:ascii="仿宋" w:hAnsi="仿宋" w:eastAsia="仿宋"/>
          <w:b w:val="0"/>
          <w:bCs w:val="0"/>
          <w:sz w:val="28"/>
          <w:szCs w:val="28"/>
          <w:highlight w:val="none"/>
        </w:rPr>
        <w:t>老师坚持在中国石油大学（北京）克拉玛依校区支教，承担教学科研和管理任务，助力当地人才培养和师资建设。</w:t>
      </w:r>
    </w:p>
    <w:p>
      <w:pPr>
        <w:widowControl/>
        <w:adjustRightInd w:val="0"/>
        <w:snapToGrid w:val="0"/>
        <w:spacing w:before="0" w:line="360" w:lineRule="auto"/>
        <w:ind w:firstLine="560" w:firstLineChars="200"/>
        <w:rPr>
          <w:rStyle w:val="9"/>
          <w:rFonts w:hint="eastAsia" w:ascii="仿宋" w:hAnsi="仿宋" w:eastAsia="仿宋" w:cs="仿宋"/>
          <w:b w:val="0"/>
          <w:bCs w:val="0"/>
          <w:sz w:val="28"/>
          <w:szCs w:val="28"/>
          <w:highlight w:val="none"/>
        </w:rPr>
      </w:pPr>
      <w:r>
        <w:rPr>
          <w:rStyle w:val="9"/>
          <w:rFonts w:hint="eastAsia" w:ascii="仿宋" w:hAnsi="仿宋" w:eastAsia="仿宋" w:cs="仿宋"/>
          <w:b w:val="0"/>
          <w:bCs w:val="0"/>
          <w:sz w:val="28"/>
          <w:szCs w:val="28"/>
          <w:highlight w:val="none"/>
        </w:rPr>
        <w:t>学术团体任职方面，有近20位教师在中国金融学会、国际金融学会、世界经济学会、金融工程学会等全国性学术团体担任副秘书长、常务理事或理事，在证券投资基金业协会、保险行业协会等自律性组织担任首席专家和委员。</w:t>
      </w:r>
    </w:p>
    <w:p>
      <w:pPr>
        <w:pStyle w:val="2"/>
        <w:widowControl/>
        <w:adjustRightInd w:val="0"/>
        <w:snapToGrid w:val="0"/>
        <w:spacing w:before="0" w:line="360" w:lineRule="auto"/>
        <w:ind w:firstLine="602" w:firstLineChars="200"/>
        <w:rPr>
          <w:rStyle w:val="10"/>
          <w:rFonts w:ascii="仿宋" w:hAnsi="仿宋" w:eastAsia="仿宋" w:cs="仿宋"/>
          <w:b/>
          <w:bCs/>
          <w:color w:val="auto"/>
          <w:sz w:val="30"/>
          <w:szCs w:val="30"/>
          <w:highlight w:val="none"/>
        </w:rPr>
      </w:pPr>
      <w:r>
        <w:rPr>
          <w:rStyle w:val="10"/>
          <w:rFonts w:hint="eastAsia" w:ascii="仿宋" w:hAnsi="仿宋" w:eastAsia="仿宋" w:cs="仿宋"/>
          <w:b/>
          <w:bCs/>
          <w:color w:val="auto"/>
          <w:sz w:val="30"/>
          <w:szCs w:val="30"/>
          <w:highlight w:val="none"/>
        </w:rPr>
        <w:t>二、学位授权点教育质量评估与分析</w:t>
      </w:r>
    </w:p>
    <w:p>
      <w:pPr>
        <w:pStyle w:val="3"/>
        <w:widowControl/>
        <w:adjustRightInd w:val="0"/>
        <w:snapToGrid w:val="0"/>
        <w:spacing w:before="156" w:beforeLines="50" w:line="360" w:lineRule="auto"/>
        <w:ind w:firstLine="562" w:firstLineChars="200"/>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（一）学位点自我评估年度进展</w:t>
      </w:r>
    </w:p>
    <w:p>
      <w:pPr>
        <w:widowControl/>
        <w:adjustRightInd w:val="0"/>
        <w:snapToGrid w:val="0"/>
        <w:spacing w:line="360" w:lineRule="auto"/>
        <w:ind w:firstLine="560" w:firstLineChars="20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在年初完成专硕水平周期评估工作之后，学位点结合评估表格和评估报告对过去一年学位点建设情况进行了梳理总结。确立了本年度在专业建设，课程体系优化，课程思政等方面进行推进的年度规划，并逐步推进：</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202</w:t>
      </w:r>
      <w:r>
        <w:rPr>
          <w:rStyle w:val="10"/>
          <w:rFonts w:hint="eastAsia" w:ascii="仿宋" w:hAnsi="仿宋" w:eastAsia="仿宋" w:cs="仿宋"/>
          <w:sz w:val="28"/>
          <w:szCs w:val="28"/>
          <w:highlight w:val="none"/>
          <w:lang w:val="en-US"/>
        </w:rPr>
        <w:t>3</w:t>
      </w:r>
      <w:r>
        <w:rPr>
          <w:rStyle w:val="10"/>
          <w:rFonts w:hint="eastAsia" w:ascii="仿宋" w:hAnsi="仿宋" w:eastAsia="仿宋" w:cs="仿宋"/>
          <w:sz w:val="28"/>
          <w:szCs w:val="28"/>
          <w:highlight w:val="none"/>
        </w:rPr>
        <w:t>年2月启动培养方案修订，清理优化课程体系，进一步加强定量分析和论文写作的培养。</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3月-12月，不定期举办鸿儒金融实务系列讲座，邀请业界专业主讲多领域专题讲座，帮助学生把握业界动态，了解业界实况。</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4月下旬，召集行业专家研讨金融科技与量化金融人才培养问题，为下一步专业建设理清方向。</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4月-7月，完成2023级新生提前培养工作，建立新生微信群、组织师生互选、推荐阅读文献、举办专业基础及专业研究专题讲座。</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4月-11月，量化投资特色项目人才培养建设。从春季到秋季，举办4场量化投资系列讲座；完成量化投资系列手册建设；举办量化特色项目师生研讨会，帮助学生明晰培养目标和规划。</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6月-8月间启动全面课程思政建设，制定课程思政建设方案、修订课程大纲，研讨课堂思政教学。</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6月-9月完成招生宣传。以“面+点”的方式宣传量化投资特色项目；通过学院网站、微信公众号、专题讲座和录播等方式进行专硕项目的整体宣传。</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7月-11月，组织各项专业比赛。7月-11月，举办首届贸大“衍盛杯”量化因子实训营暨策略大赛；10月-11成功主办第四届“求索杯”全国期权做市大赛和2023工行杯；</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9月开展师德教育月活动，重申导师在人才培养中的核心地位和第一责任。</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10月-11月，完成校外导师维护和交流联络工作。更新校外导师库，加强校外导师的有效指导；举办4场不同主题方向的校外导师圆桌论坛。</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lang w:val="en-US"/>
        </w:rPr>
        <w:t>10-11月，推动专硕学位论文评审改革和质量提升工作。制定专硕学位论文质量评审改革方案，建立校外匿名评审平台；邀请教指委专家开设专硕学位论文写作指导专题讲座。</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11月基于中粮期货、联合资信评估股份有限公司等合作经验，与兴业证券建立战略合作意向，开设</w:t>
      </w:r>
      <w:r>
        <w:rPr>
          <w:rStyle w:val="10"/>
          <w:rFonts w:ascii="仿宋" w:hAnsi="仿宋" w:eastAsia="仿宋" w:cs="仿宋"/>
          <w:sz w:val="28"/>
          <w:szCs w:val="28"/>
          <w:highlight w:val="none"/>
        </w:rPr>
        <w:t>《场外衍生品实务》</w:t>
      </w:r>
      <w:r>
        <w:rPr>
          <w:rStyle w:val="10"/>
          <w:rFonts w:hint="eastAsia" w:ascii="仿宋" w:hAnsi="仿宋" w:eastAsia="仿宋" w:cs="仿宋"/>
          <w:sz w:val="28"/>
          <w:szCs w:val="28"/>
          <w:highlight w:val="none"/>
        </w:rPr>
        <w:t>等学分课程，建立实践基地，为量化投资项目毕业生涉及能力认证证书。</w:t>
      </w:r>
    </w:p>
    <w:p>
      <w:pPr>
        <w:pStyle w:val="11"/>
        <w:widowControl/>
        <w:numPr>
          <w:ilvl w:val="0"/>
          <w:numId w:val="1"/>
        </w:numPr>
        <w:adjustRightInd w:val="0"/>
        <w:snapToGrid w:val="0"/>
        <w:spacing w:line="360" w:lineRule="auto"/>
        <w:ind w:left="0"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12月-1月进行年度总结并撰写年度自评报告。</w:t>
      </w:r>
    </w:p>
    <w:p>
      <w:pPr>
        <w:pStyle w:val="3"/>
        <w:widowControl/>
        <w:adjustRightInd w:val="0"/>
        <w:snapToGrid w:val="0"/>
        <w:spacing w:before="156" w:beforeLines="50" w:line="360" w:lineRule="auto"/>
        <w:ind w:firstLine="562" w:firstLineChars="200"/>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（二）存在问题分析</w:t>
      </w:r>
    </w:p>
    <w:p>
      <w:pPr>
        <w:widowControl/>
        <w:adjustRightInd w:val="0"/>
        <w:snapToGrid w:val="0"/>
        <w:spacing w:line="360" w:lineRule="auto"/>
        <w:ind w:firstLine="560" w:firstLineChars="20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本年度自评估过程中发现的问题和相关的分析：</w:t>
      </w:r>
    </w:p>
    <w:p>
      <w:pPr>
        <w:pStyle w:val="3"/>
        <w:widowControl/>
        <w:adjustRightInd w:val="0"/>
        <w:snapToGrid w:val="0"/>
        <w:spacing w:before="0" w:line="360" w:lineRule="auto"/>
        <w:ind w:firstLine="562" w:firstLineChars="200"/>
        <w:rPr>
          <w:rStyle w:val="10"/>
          <w:rFonts w:ascii="仿宋" w:hAnsi="仿宋" w:eastAsia="仿宋" w:cs="仿宋"/>
          <w:b/>
          <w:bCs/>
          <w:color w:val="auto"/>
          <w:sz w:val="28"/>
          <w:szCs w:val="28"/>
          <w:highlight w:val="none"/>
        </w:rPr>
      </w:pPr>
      <w:r>
        <w:rPr>
          <w:rStyle w:val="10"/>
          <w:rFonts w:ascii="仿宋" w:hAnsi="仿宋" w:eastAsia="仿宋" w:cs="仿宋"/>
          <w:b/>
          <w:bCs/>
          <w:color w:val="auto"/>
          <w:sz w:val="28"/>
          <w:szCs w:val="28"/>
          <w:highlight w:val="none"/>
        </w:rPr>
        <w:t>1</w:t>
      </w:r>
      <w:r>
        <w:rPr>
          <w:rStyle w:val="10"/>
          <w:rFonts w:hint="eastAsia" w:ascii="仿宋" w:hAnsi="仿宋" w:eastAsia="仿宋" w:cs="仿宋"/>
          <w:b/>
          <w:bCs/>
          <w:color w:val="auto"/>
          <w:sz w:val="28"/>
          <w:szCs w:val="28"/>
          <w:highlight w:val="none"/>
        </w:rPr>
        <w:t>.专硕论文学硕化倾向</w:t>
      </w:r>
    </w:p>
    <w:p>
      <w:pPr>
        <w:widowControl/>
        <w:adjustRightInd w:val="0"/>
        <w:snapToGrid w:val="0"/>
        <w:spacing w:line="360" w:lineRule="auto"/>
        <w:ind w:firstLine="560" w:firstLineChars="200"/>
        <w:textAlignment w:val="baseline"/>
        <w:rPr>
          <w:rFonts w:ascii="仿宋" w:hAnsi="仿宋" w:eastAsia="仿宋" w:cs="仿宋"/>
          <w:sz w:val="28"/>
          <w:szCs w:val="28"/>
          <w:highlight w:val="none"/>
          <w:lang w:bidi="ar"/>
        </w:rPr>
      </w:pPr>
      <w:r>
        <w:rPr>
          <w:rStyle w:val="10"/>
          <w:rFonts w:hint="eastAsia" w:ascii="仿宋" w:hAnsi="仿宋" w:eastAsia="仿宋" w:cs="仿宋"/>
          <w:sz w:val="28"/>
          <w:szCs w:val="28"/>
          <w:highlight w:val="none"/>
        </w:rPr>
        <w:t>本项目经过多年建设，已经形成了一套论文质量控制体系，包括学位论文写作课程全覆盖，论文全流程时间点监控，匿名评审、匿名答辩、</w:t>
      </w:r>
      <w:r>
        <w:rPr>
          <w:rFonts w:hint="eastAsia" w:ascii="仿宋" w:hAnsi="仿宋" w:eastAsia="仿宋" w:cs="仿宋"/>
          <w:sz w:val="28"/>
          <w:szCs w:val="28"/>
          <w:highlight w:val="none"/>
          <w:lang w:bidi="ar"/>
        </w:rPr>
        <w:t>毕业后校内抽检等措施。整体而言，这些措施确实对保障论文质量起到的正面作用。但是学生在论文选题和写作中，更倾向于选择安全省心的学术型论文，而没有体现出专业硕士论文的特点。学院教学案例奖和课堂案例教学尚未有效转化到学生学位论文写作上。</w:t>
      </w:r>
    </w:p>
    <w:p>
      <w:pPr>
        <w:widowControl/>
        <w:adjustRightInd w:val="0"/>
        <w:snapToGrid w:val="0"/>
        <w:spacing w:line="360" w:lineRule="auto"/>
        <w:ind w:firstLine="560" w:firstLineChars="20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分析原因有以下几点：1、相对非学术型论文，目前并没有统一的标准，学生写起来没有参考，导师指导起来也缺乏依据。2、</w:t>
      </w:r>
      <w:r>
        <w:rPr>
          <w:rFonts w:hint="eastAsia" w:ascii="仿宋" w:hAnsi="仿宋" w:eastAsia="仿宋" w:cs="仿宋"/>
          <w:sz w:val="28"/>
          <w:szCs w:val="28"/>
          <w:highlight w:val="none"/>
          <w:lang w:bidi="ar"/>
        </w:rPr>
        <w:t>教育部学位中心的论文外审平台在起到外部监督作用的同时，因为相当一批评审专家只会用学硕论文的标准去看专硕论文，导致案例类等非学术型论文外审经常出问题。学生和导师趋利避害，选择安全且无聊的练习题式论文应付。</w:t>
      </w:r>
    </w:p>
    <w:p>
      <w:pPr>
        <w:pStyle w:val="3"/>
        <w:widowControl/>
        <w:adjustRightInd w:val="0"/>
        <w:snapToGrid w:val="0"/>
        <w:spacing w:before="0" w:line="360" w:lineRule="auto"/>
        <w:ind w:firstLine="562" w:firstLineChars="200"/>
        <w:rPr>
          <w:rStyle w:val="10"/>
          <w:rFonts w:ascii="仿宋" w:hAnsi="仿宋" w:eastAsia="仿宋" w:cs="仿宋"/>
          <w:b/>
          <w:bCs/>
          <w:color w:val="auto"/>
          <w:sz w:val="28"/>
          <w:szCs w:val="28"/>
          <w:highlight w:val="none"/>
        </w:rPr>
      </w:pPr>
      <w:r>
        <w:rPr>
          <w:rStyle w:val="10"/>
          <w:rFonts w:ascii="仿宋" w:hAnsi="仿宋" w:eastAsia="仿宋" w:cs="仿宋"/>
          <w:b/>
          <w:bCs/>
          <w:color w:val="auto"/>
          <w:sz w:val="28"/>
          <w:szCs w:val="28"/>
          <w:highlight w:val="none"/>
        </w:rPr>
        <w:t>2</w:t>
      </w:r>
      <w:r>
        <w:rPr>
          <w:rStyle w:val="10"/>
          <w:rFonts w:hint="eastAsia" w:ascii="仿宋" w:hAnsi="仿宋" w:eastAsia="仿宋" w:cs="仿宋"/>
          <w:b/>
          <w:bCs/>
          <w:color w:val="auto"/>
          <w:sz w:val="28"/>
          <w:szCs w:val="28"/>
          <w:highlight w:val="none"/>
        </w:rPr>
        <w:t>.学生体量和实质性方向之间不匹配</w:t>
      </w:r>
    </w:p>
    <w:p>
      <w:pPr>
        <w:widowControl/>
        <w:adjustRightInd w:val="0"/>
        <w:snapToGrid w:val="0"/>
        <w:spacing w:line="360" w:lineRule="auto"/>
        <w:ind w:firstLine="560" w:firstLineChars="200"/>
        <w:textAlignment w:val="baseline"/>
        <w:rPr>
          <w:rFonts w:ascii="仿宋" w:hAnsi="仿宋" w:eastAsia="仿宋" w:cs="仿宋"/>
          <w:sz w:val="28"/>
          <w:szCs w:val="28"/>
          <w:highlight w:val="none"/>
          <w:lang w:bidi="ar"/>
        </w:rPr>
      </w:pPr>
      <w:r>
        <w:rPr>
          <w:rStyle w:val="10"/>
          <w:rFonts w:hint="eastAsia" w:ascii="仿宋" w:hAnsi="仿宋" w:eastAsia="仿宋" w:cs="仿宋"/>
          <w:sz w:val="28"/>
          <w:szCs w:val="28"/>
          <w:highlight w:val="none"/>
        </w:rPr>
        <w:t>本项目经过多年建设，学生规模已经有了大幅增长，目前虽然在项目下设了几个专业方向，但学生在选课等方面仅起到指导作用，并不强制，学生完全可以不按照相关方向选课，导致虽有方向但是并不是硬分割。</w:t>
      </w:r>
      <w:r>
        <w:rPr>
          <w:rFonts w:hint="eastAsia" w:ascii="仿宋" w:hAnsi="仿宋" w:eastAsia="仿宋" w:cs="仿宋"/>
          <w:sz w:val="28"/>
          <w:szCs w:val="28"/>
          <w:highlight w:val="none"/>
          <w:lang w:bidi="ar"/>
        </w:rPr>
        <w:t>目前仅有的培养方案锁定的方向是量化投资方向，其他方向还没有发展出来。</w:t>
      </w:r>
    </w:p>
    <w:p>
      <w:pPr>
        <w:widowControl/>
        <w:adjustRightInd w:val="0"/>
        <w:snapToGrid w:val="0"/>
        <w:spacing w:line="360" w:lineRule="auto"/>
        <w:ind w:firstLine="560" w:firstLineChars="20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分析原因有以下几点：1、从专业方向角度看，目前除金融工程系有明确的专业边界以外，其他学系的边界并不十分清晰，能够担任项目主任的老师稀缺，导致跨系组织项目组有一定难度。2、学位证书是标准格式，只能体现金融专硕，无法体现具体的培养方向，导致学生“趋利避害”，选课扎堆，把现有的培养方向架空。</w:t>
      </w:r>
    </w:p>
    <w:p>
      <w:pPr>
        <w:widowControl/>
        <w:adjustRightInd w:val="0"/>
        <w:snapToGrid w:val="0"/>
        <w:spacing w:line="360" w:lineRule="auto"/>
        <w:ind w:firstLine="562" w:firstLineChars="200"/>
        <w:textAlignment w:val="baseline"/>
        <w:rPr>
          <w:rStyle w:val="10"/>
          <w:rFonts w:ascii="仿宋" w:hAnsi="仿宋" w:eastAsia="仿宋" w:cs="仿宋"/>
          <w:b/>
          <w:bCs/>
          <w:sz w:val="28"/>
          <w:szCs w:val="28"/>
          <w:highlight w:val="none"/>
        </w:rPr>
      </w:pPr>
      <w:r>
        <w:rPr>
          <w:rStyle w:val="10"/>
          <w:rFonts w:ascii="仿宋" w:hAnsi="仿宋" w:eastAsia="仿宋" w:cs="仿宋"/>
          <w:b/>
          <w:bCs/>
          <w:sz w:val="28"/>
          <w:szCs w:val="28"/>
          <w:highlight w:val="none"/>
        </w:rPr>
        <w:t>3</w:t>
      </w:r>
      <w:r>
        <w:rPr>
          <w:rStyle w:val="10"/>
          <w:rFonts w:hint="eastAsia" w:ascii="仿宋" w:hAnsi="仿宋" w:eastAsia="仿宋" w:cs="仿宋"/>
          <w:b/>
          <w:bCs/>
          <w:sz w:val="28"/>
          <w:szCs w:val="28"/>
          <w:highlight w:val="none"/>
        </w:rPr>
        <w:t>.专硕教材建设</w:t>
      </w:r>
    </w:p>
    <w:p>
      <w:pPr>
        <w:widowControl/>
        <w:adjustRightInd w:val="0"/>
        <w:snapToGrid w:val="0"/>
        <w:spacing w:line="360" w:lineRule="auto"/>
        <w:ind w:firstLine="560" w:firstLineChars="200"/>
        <w:textAlignment w:val="baseline"/>
        <w:rPr>
          <w:rStyle w:val="10"/>
          <w:rFonts w:hint="eastAsia" w:ascii="仿宋" w:hAnsi="仿宋" w:eastAsia="仿宋" w:cs="仿宋"/>
          <w:sz w:val="28"/>
          <w:szCs w:val="28"/>
          <w:highlight w:val="none"/>
        </w:rPr>
      </w:pPr>
      <w:r>
        <w:rPr>
          <w:rStyle w:val="10"/>
          <w:rFonts w:ascii="仿宋" w:hAnsi="仿宋" w:eastAsia="仿宋" w:cs="仿宋"/>
          <w:sz w:val="28"/>
          <w:szCs w:val="28"/>
          <w:highlight w:val="none"/>
        </w:rPr>
        <w:t>本</w:t>
      </w:r>
      <w:r>
        <w:rPr>
          <w:rStyle w:val="10"/>
          <w:rFonts w:hint="eastAsia" w:ascii="仿宋" w:hAnsi="仿宋" w:eastAsia="仿宋" w:cs="仿宋"/>
          <w:sz w:val="28"/>
          <w:szCs w:val="28"/>
          <w:highlight w:val="none"/>
        </w:rPr>
        <w:t>项目</w:t>
      </w:r>
      <w:r>
        <w:rPr>
          <w:rStyle w:val="10"/>
          <w:rFonts w:ascii="仿宋" w:hAnsi="仿宋" w:eastAsia="仿宋" w:cs="仿宋"/>
          <w:sz w:val="28"/>
          <w:szCs w:val="28"/>
          <w:highlight w:val="none"/>
        </w:rPr>
        <w:t>已经经营多年，教师在课程上也投入了很多精力，但是教材方面建设严重滞后，特别是量化投资方向，累积了一批课程资料，但是一直没有转化为教材。虽然是国内首个量化投资方向，但是没能充分发挥引领作用。</w:t>
      </w:r>
    </w:p>
    <w:p>
      <w:pPr>
        <w:pStyle w:val="3"/>
        <w:widowControl/>
        <w:adjustRightInd w:val="0"/>
        <w:snapToGrid w:val="0"/>
        <w:spacing w:before="0" w:line="360" w:lineRule="auto"/>
        <w:ind w:firstLine="562" w:firstLineChars="200"/>
        <w:rPr>
          <w:rStyle w:val="10"/>
          <w:rFonts w:ascii="仿宋" w:hAnsi="仿宋" w:eastAsia="仿宋" w:cs="仿宋"/>
          <w:b/>
          <w:bCs/>
          <w:color w:val="auto"/>
          <w:sz w:val="28"/>
          <w:szCs w:val="28"/>
          <w:highlight w:val="none"/>
        </w:rPr>
      </w:pPr>
      <w:r>
        <w:rPr>
          <w:rStyle w:val="10"/>
          <w:rFonts w:ascii="仿宋" w:hAnsi="仿宋" w:eastAsia="仿宋" w:cs="仿宋"/>
          <w:b/>
          <w:bCs/>
          <w:color w:val="auto"/>
          <w:sz w:val="28"/>
          <w:szCs w:val="28"/>
          <w:highlight w:val="none"/>
        </w:rPr>
        <w:t>4</w:t>
      </w:r>
      <w:r>
        <w:rPr>
          <w:rStyle w:val="10"/>
          <w:rFonts w:hint="eastAsia" w:ascii="仿宋" w:hAnsi="仿宋" w:eastAsia="仿宋" w:cs="仿宋"/>
          <w:b/>
          <w:bCs/>
          <w:color w:val="auto"/>
          <w:sz w:val="28"/>
          <w:szCs w:val="28"/>
          <w:highlight w:val="none"/>
        </w:rPr>
        <w:t>.学生心理问题疏导</w:t>
      </w:r>
    </w:p>
    <w:p>
      <w:pPr>
        <w:pStyle w:val="11"/>
        <w:widowControl/>
        <w:adjustRightInd w:val="0"/>
        <w:snapToGrid w:val="0"/>
        <w:spacing w:line="360" w:lineRule="auto"/>
        <w:ind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教育学生不只是知识技能，还有学生的心理建设。需要整个项目管理团队，项目教师和辅导员进行积极应对。</w:t>
      </w:r>
    </w:p>
    <w:p>
      <w:pPr>
        <w:pStyle w:val="11"/>
        <w:widowControl/>
        <w:adjustRightInd w:val="0"/>
        <w:snapToGrid w:val="0"/>
        <w:spacing w:line="360" w:lineRule="auto"/>
        <w:ind w:firstLine="56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分析原因有以下几点：1、金融行业是一个人才集中的且高度竞争的行业，金融专硕的学制又相对紧凑，学生从入校开始就面临学业和就业的双重压力。2、学生群体心理问题逐年增多的是整个问题的大背景，金融专硕作为很多学生求学路上的最后一站，往往承担了问题的最后爆发阶段。3、疫情之后经济复苏不确定性大，金融机构招聘保守，学生就业压力并未缓解，职业迷茫度非常高。</w:t>
      </w:r>
    </w:p>
    <w:p>
      <w:pPr>
        <w:pStyle w:val="3"/>
        <w:widowControl/>
        <w:adjustRightInd w:val="0"/>
        <w:snapToGrid w:val="0"/>
        <w:spacing w:before="0" w:line="360" w:lineRule="auto"/>
        <w:ind w:firstLine="562" w:firstLineChars="200"/>
        <w:rPr>
          <w:rStyle w:val="10"/>
          <w:rFonts w:ascii="仿宋" w:hAnsi="仿宋" w:eastAsia="仿宋" w:cs="仿宋"/>
          <w:b/>
          <w:bCs/>
          <w:color w:val="auto"/>
          <w:sz w:val="28"/>
          <w:szCs w:val="28"/>
          <w:highlight w:val="none"/>
        </w:rPr>
      </w:pPr>
      <w:r>
        <w:rPr>
          <w:rStyle w:val="10"/>
          <w:rFonts w:ascii="仿宋" w:hAnsi="仿宋" w:eastAsia="仿宋" w:cs="仿宋"/>
          <w:b/>
          <w:bCs/>
          <w:color w:val="auto"/>
          <w:sz w:val="28"/>
          <w:szCs w:val="28"/>
          <w:highlight w:val="none"/>
        </w:rPr>
        <w:t>5</w:t>
      </w:r>
      <w:r>
        <w:rPr>
          <w:rStyle w:val="10"/>
          <w:rFonts w:hint="eastAsia" w:ascii="仿宋" w:hAnsi="仿宋" w:eastAsia="仿宋" w:cs="仿宋"/>
          <w:b/>
          <w:bCs/>
          <w:color w:val="auto"/>
          <w:sz w:val="28"/>
          <w:szCs w:val="28"/>
          <w:highlight w:val="none"/>
        </w:rPr>
        <w:t>.校外导师的维护与发展</w:t>
      </w:r>
    </w:p>
    <w:p>
      <w:pPr>
        <w:pStyle w:val="11"/>
        <w:widowControl/>
        <w:adjustRightInd w:val="0"/>
        <w:snapToGrid w:val="0"/>
        <w:spacing w:line="360" w:lineRule="auto"/>
        <w:ind w:firstLine="560"/>
        <w:textAlignment w:val="baseline"/>
        <w:rPr>
          <w:rStyle w:val="10"/>
          <w:rFonts w:hint="eastAsia" w:ascii="仿宋" w:hAnsi="仿宋" w:eastAsia="仿宋" w:cs="仿宋"/>
          <w:sz w:val="28"/>
          <w:szCs w:val="28"/>
          <w:highlight w:val="none"/>
        </w:rPr>
      </w:pPr>
      <w:r>
        <w:rPr>
          <w:rStyle w:val="10"/>
          <w:rFonts w:ascii="仿宋" w:hAnsi="仿宋" w:eastAsia="仿宋" w:cs="仿宋"/>
          <w:sz w:val="28"/>
          <w:szCs w:val="28"/>
          <w:highlight w:val="none"/>
        </w:rPr>
        <w:t>双导师制度是专硕培养的一个特色制度安排，项目一直也是严格执行双导师制。由于学院之前隶属于人民银行系统，学院传统的校外导师库中有大量来自于一行两会和外管局等金融监管机构的专家，从</w:t>
      </w:r>
      <w:r>
        <w:rPr>
          <w:rStyle w:val="10"/>
          <w:rFonts w:hint="eastAsia" w:ascii="仿宋" w:hAnsi="仿宋" w:eastAsia="仿宋" w:cs="仿宋"/>
          <w:sz w:val="28"/>
          <w:szCs w:val="28"/>
          <w:highlight w:val="none"/>
        </w:rPr>
        <w:t>2</w:t>
      </w:r>
      <w:r>
        <w:rPr>
          <w:rStyle w:val="10"/>
          <w:rFonts w:ascii="仿宋" w:hAnsi="仿宋" w:eastAsia="仿宋" w:cs="仿宋"/>
          <w:sz w:val="28"/>
          <w:szCs w:val="28"/>
          <w:highlight w:val="none"/>
        </w:rPr>
        <w:t>021年以来，受到教育部、中组部政策调整影响，这批专家中的相当一部分陆续提出无法继续担任外导，导致外导人数有所下降。此外，大部分外导和学院之间的联系就是共同指导学生，其他相关活动参加的比较少，没能充分发挥外导的价值。如何更好地维护外导队伍，发展新的外导以及更好使用外导需要开发新思路。</w:t>
      </w:r>
    </w:p>
    <w:p>
      <w:pPr>
        <w:pStyle w:val="3"/>
        <w:keepNext/>
        <w:keepLines/>
        <w:pageBreakBefore w:val="0"/>
        <w:widowControl/>
        <w:kinsoku/>
        <w:wordWrap/>
        <w:overflowPunct/>
        <w:topLinePunct w:val="0"/>
        <w:autoSpaceDE/>
        <w:autoSpaceDN/>
        <w:bidi w:val="0"/>
        <w:adjustRightInd w:val="0"/>
        <w:snapToGrid w:val="0"/>
        <w:spacing w:before="156" w:beforeLines="50" w:line="360" w:lineRule="auto"/>
        <w:ind w:firstLine="562" w:firstLineChars="200"/>
        <w:textAlignment w:val="auto"/>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（三）学位论文抽检情况</w:t>
      </w:r>
    </w:p>
    <w:p>
      <w:pPr>
        <w:widowControl/>
        <w:adjustRightInd w:val="0"/>
        <w:snapToGrid w:val="0"/>
        <w:spacing w:line="360" w:lineRule="auto"/>
        <w:ind w:firstLine="560" w:firstLineChars="200"/>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得益于本项目在学位论文方面的质量控制体系，本学位点本年度学院、学校、北京市三级研究生论文抽检未发现问题论文。</w:t>
      </w:r>
    </w:p>
    <w:p>
      <w:pPr>
        <w:widowControl/>
        <w:adjustRightInd w:val="0"/>
        <w:snapToGrid w:val="0"/>
        <w:spacing w:line="360" w:lineRule="auto"/>
        <w:ind w:firstLine="560" w:firstLineChars="200"/>
        <w:textAlignment w:val="baseline"/>
        <w:rPr>
          <w:rStyle w:val="10"/>
          <w:rFonts w:ascii="仿宋" w:hAnsi="仿宋" w:eastAsia="仿宋" w:cs="仿宋"/>
          <w:sz w:val="28"/>
          <w:szCs w:val="28"/>
          <w:highlight w:val="none"/>
        </w:rPr>
      </w:pPr>
    </w:p>
    <w:p>
      <w:pPr>
        <w:pStyle w:val="2"/>
        <w:widowControl/>
        <w:adjustRightInd w:val="0"/>
        <w:snapToGrid w:val="0"/>
        <w:spacing w:before="0" w:line="360" w:lineRule="auto"/>
        <w:ind w:firstLine="602" w:firstLineChars="200"/>
        <w:rPr>
          <w:rStyle w:val="10"/>
          <w:rFonts w:ascii="仿宋" w:hAnsi="仿宋" w:eastAsia="仿宋" w:cs="仿宋"/>
          <w:b/>
          <w:bCs/>
          <w:color w:val="auto"/>
          <w:sz w:val="30"/>
          <w:szCs w:val="30"/>
          <w:highlight w:val="none"/>
        </w:rPr>
      </w:pPr>
      <w:r>
        <w:rPr>
          <w:rStyle w:val="10"/>
          <w:rFonts w:hint="eastAsia" w:ascii="仿宋" w:hAnsi="仿宋" w:eastAsia="仿宋" w:cs="仿宋"/>
          <w:b/>
          <w:bCs/>
          <w:color w:val="auto"/>
          <w:sz w:val="30"/>
          <w:szCs w:val="30"/>
          <w:highlight w:val="none"/>
        </w:rPr>
        <w:t>三、改进措施</w:t>
      </w:r>
    </w:p>
    <w:p>
      <w:pPr>
        <w:pStyle w:val="3"/>
        <w:keepNext/>
        <w:keepLines/>
        <w:pageBreakBefore w:val="0"/>
        <w:widowControl/>
        <w:numPr>
          <w:ilvl w:val="0"/>
          <w:numId w:val="2"/>
        </w:numPr>
        <w:kinsoku/>
        <w:wordWrap/>
        <w:overflowPunct/>
        <w:topLinePunct w:val="0"/>
        <w:autoSpaceDE/>
        <w:autoSpaceDN/>
        <w:bidi w:val="0"/>
        <w:adjustRightInd w:val="0"/>
        <w:snapToGrid w:val="0"/>
        <w:spacing w:before="156" w:beforeLines="50" w:line="360" w:lineRule="auto"/>
        <w:ind w:left="0" w:leftChars="0" w:firstLine="420" w:firstLineChars="0"/>
        <w:textAlignment w:val="auto"/>
        <w:rPr>
          <w:rStyle w:val="10"/>
          <w:rFonts w:hint="eastAsia"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专硕论文学硕化倾向</w:t>
      </w:r>
    </w:p>
    <w:p>
      <w:pPr>
        <w:pStyle w:val="11"/>
        <w:widowControl/>
        <w:spacing w:line="560" w:lineRule="exact"/>
        <w:ind w:firstLine="495" w:firstLineChars="177"/>
        <w:textAlignment w:val="baseline"/>
        <w:rPr>
          <w:rStyle w:val="10"/>
          <w:rFonts w:ascii="仿宋" w:hAnsi="仿宋" w:eastAsia="仿宋" w:cs="仿宋"/>
          <w:sz w:val="28"/>
          <w:szCs w:val="28"/>
          <w:highlight w:val="none"/>
        </w:rPr>
      </w:pPr>
      <w:r>
        <w:rPr>
          <w:rStyle w:val="10"/>
          <w:rFonts w:ascii="仿宋" w:hAnsi="仿宋" w:eastAsia="仿宋" w:cs="仿宋"/>
          <w:sz w:val="28"/>
          <w:szCs w:val="28"/>
          <w:highlight w:val="none"/>
        </w:rPr>
        <w:t>专硕论文学硕化倾向是一个普遍现象，其深层次原因在于传统研究生</w:t>
      </w:r>
      <w:r>
        <w:rPr>
          <w:rStyle w:val="10"/>
          <w:rFonts w:hint="eastAsia" w:ascii="仿宋" w:hAnsi="仿宋" w:eastAsia="仿宋" w:cs="仿宋"/>
          <w:sz w:val="28"/>
          <w:szCs w:val="28"/>
          <w:highlight w:val="none"/>
        </w:rPr>
        <w:t xml:space="preserve">教学模式并不适应专硕的教学特点，技术性原因还和评价体系、外审专家偏好等相关。故而为了解决这个问题，本项目拟从两方面入手。 </w:t>
      </w:r>
      <w:r>
        <w:rPr>
          <w:rStyle w:val="10"/>
          <w:rFonts w:ascii="仿宋" w:hAnsi="仿宋" w:eastAsia="仿宋" w:cs="仿宋"/>
          <w:sz w:val="28"/>
          <w:szCs w:val="28"/>
          <w:highlight w:val="none"/>
        </w:rPr>
        <w:t xml:space="preserve"> </w:t>
      </w:r>
    </w:p>
    <w:p>
      <w:pPr>
        <w:pStyle w:val="11"/>
        <w:widowControl/>
        <w:spacing w:line="560" w:lineRule="exact"/>
        <w:ind w:firstLine="495" w:firstLineChars="177"/>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首先是课程体系和课程内容的持续优化改造，继续加强课程组内案例的研讨和专硕案例开发力度，举行案例写作和教学交流活动，更好地把案例教学融入到教学过程中，改良现有的学硕风格课程。让老师在写案例的过程中体会案例类型的研究应该是什么样子。</w:t>
      </w:r>
    </w:p>
    <w:p>
      <w:pPr>
        <w:pStyle w:val="11"/>
        <w:widowControl/>
        <w:spacing w:line="560" w:lineRule="exact"/>
        <w:ind w:firstLine="495" w:firstLineChars="177"/>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其次是从制度上给予保障，在满足学校基本外审比例必须通过教育部学位中心系统的基础上，开发学院自己的论文送审系统。以案例类论文为突破点，鼓励有条件的老师指导学生写案例类的论文，并通过学院系统定向送往知名的金融专硕培养单位，委托有经验的专家对论文进行外审。</w:t>
      </w:r>
    </w:p>
    <w:p>
      <w:pPr>
        <w:pStyle w:val="3"/>
        <w:keepNext/>
        <w:keepLines/>
        <w:pageBreakBefore w:val="0"/>
        <w:widowControl/>
        <w:numPr>
          <w:ilvl w:val="0"/>
          <w:numId w:val="2"/>
        </w:numPr>
        <w:kinsoku/>
        <w:wordWrap/>
        <w:overflowPunct/>
        <w:topLinePunct w:val="0"/>
        <w:autoSpaceDE/>
        <w:autoSpaceDN/>
        <w:bidi w:val="0"/>
        <w:adjustRightInd w:val="0"/>
        <w:snapToGrid w:val="0"/>
        <w:spacing w:before="156" w:beforeLines="50" w:line="360" w:lineRule="auto"/>
        <w:ind w:left="0" w:leftChars="0" w:firstLine="420" w:firstLineChars="0"/>
        <w:textAlignment w:val="auto"/>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学生体量和实质性方向之间不匹配</w:t>
      </w:r>
    </w:p>
    <w:p>
      <w:pPr>
        <w:pStyle w:val="11"/>
        <w:widowControl/>
        <w:spacing w:line="560" w:lineRule="exact"/>
        <w:ind w:firstLine="495" w:firstLineChars="177"/>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目前本项目有硬区分的专业方向只有量化投资一个，目前的建设重点集中在项目的生源质量保证方面。量化投资的生源要求和普通金融专硕有着明显的不同，培养上难度也比普通专硕大很多。项目在这个方向上持续投入精力，目前项目规模稳定在2</w:t>
      </w:r>
      <w:r>
        <w:rPr>
          <w:rStyle w:val="10"/>
          <w:rFonts w:ascii="仿宋" w:hAnsi="仿宋" w:eastAsia="仿宋" w:cs="仿宋"/>
          <w:sz w:val="28"/>
          <w:szCs w:val="28"/>
          <w:highlight w:val="none"/>
        </w:rPr>
        <w:t>0-30人之间。</w:t>
      </w:r>
    </w:p>
    <w:p>
      <w:pPr>
        <w:pStyle w:val="11"/>
        <w:widowControl/>
        <w:spacing w:line="560" w:lineRule="exact"/>
        <w:ind w:firstLine="495" w:firstLineChars="177"/>
        <w:textAlignment w:val="baseline"/>
        <w:rPr>
          <w:rStyle w:val="10"/>
          <w:rFonts w:ascii="仿宋" w:hAnsi="仿宋" w:eastAsia="仿宋" w:cs="仿宋"/>
          <w:sz w:val="28"/>
          <w:szCs w:val="28"/>
          <w:highlight w:val="none"/>
        </w:rPr>
      </w:pPr>
      <w:r>
        <w:rPr>
          <w:rStyle w:val="10"/>
          <w:rFonts w:ascii="仿宋" w:hAnsi="仿宋" w:eastAsia="仿宋" w:cs="仿宋"/>
          <w:sz w:val="28"/>
          <w:szCs w:val="28"/>
          <w:highlight w:val="none"/>
        </w:rPr>
        <w:t>类比量化投资，短期可行，市场认可的方向是金融科技方向。这部分</w:t>
      </w:r>
      <w:r>
        <w:rPr>
          <w:rStyle w:val="10"/>
          <w:rFonts w:hint="eastAsia" w:ascii="仿宋" w:hAnsi="仿宋" w:eastAsia="仿宋" w:cs="仿宋"/>
          <w:sz w:val="28"/>
          <w:szCs w:val="28"/>
          <w:highlight w:val="none"/>
        </w:rPr>
        <w:t>短期措施为依托本项目现有的在金融科技方向的校友资源，做好培养方案和课程的设计。另外就是需要再培养一个合格的项目主任来组织这个方向从招生到就业的全部事宜。</w:t>
      </w:r>
    </w:p>
    <w:p>
      <w:pPr>
        <w:pStyle w:val="11"/>
        <w:widowControl/>
        <w:spacing w:line="560" w:lineRule="exact"/>
        <w:ind w:firstLine="495" w:firstLineChars="177"/>
        <w:textAlignment w:val="baseline"/>
        <w:rPr>
          <w:rStyle w:val="10"/>
          <w:rFonts w:ascii="仿宋" w:hAnsi="仿宋" w:eastAsia="仿宋" w:cs="仿宋"/>
          <w:sz w:val="28"/>
          <w:szCs w:val="28"/>
          <w:highlight w:val="none"/>
        </w:rPr>
      </w:pPr>
      <w:r>
        <w:rPr>
          <w:rStyle w:val="10"/>
          <w:rFonts w:ascii="仿宋" w:hAnsi="仿宋" w:eastAsia="仿宋" w:cs="仿宋"/>
          <w:sz w:val="28"/>
          <w:szCs w:val="28"/>
          <w:highlight w:val="none"/>
        </w:rPr>
        <w:t>长期来看，即便解决的硬区分方向的设计，还需要</w:t>
      </w:r>
      <w:r>
        <w:rPr>
          <w:rStyle w:val="10"/>
          <w:rFonts w:hint="eastAsia" w:ascii="仿宋" w:hAnsi="仿宋" w:eastAsia="仿宋" w:cs="仿宋"/>
          <w:sz w:val="28"/>
          <w:szCs w:val="28"/>
          <w:highlight w:val="none"/>
        </w:rPr>
        <w:t>呼吁主管部门考虑到现代金融的广度，允许金融专硕在一定范围内自设子专业，并按照不同专业方向考核和发放学位证(类似于国外的硕士项目中，Mater</w:t>
      </w:r>
      <w:r>
        <w:rPr>
          <w:rStyle w:val="10"/>
          <w:rFonts w:ascii="仿宋" w:hAnsi="仿宋" w:eastAsia="仿宋" w:cs="仿宋"/>
          <w:sz w:val="28"/>
          <w:szCs w:val="28"/>
          <w:highlight w:val="none"/>
        </w:rPr>
        <w:t xml:space="preserve"> of Finance with xxx specialty)</w:t>
      </w:r>
      <w:r>
        <w:rPr>
          <w:rStyle w:val="10"/>
          <w:rFonts w:hint="eastAsia" w:ascii="仿宋" w:hAnsi="仿宋" w:eastAsia="仿宋" w:cs="仿宋"/>
          <w:sz w:val="28"/>
          <w:szCs w:val="28"/>
          <w:highlight w:val="none"/>
        </w:rPr>
        <w:t>，向市场传递清晰的信号。</w:t>
      </w:r>
    </w:p>
    <w:p>
      <w:pPr>
        <w:pStyle w:val="3"/>
        <w:keepNext/>
        <w:keepLines/>
        <w:pageBreakBefore w:val="0"/>
        <w:widowControl/>
        <w:numPr>
          <w:ilvl w:val="0"/>
          <w:numId w:val="2"/>
        </w:numPr>
        <w:kinsoku/>
        <w:wordWrap/>
        <w:overflowPunct/>
        <w:topLinePunct w:val="0"/>
        <w:autoSpaceDE/>
        <w:autoSpaceDN/>
        <w:bidi w:val="0"/>
        <w:adjustRightInd w:val="0"/>
        <w:snapToGrid w:val="0"/>
        <w:spacing w:before="156" w:beforeLines="50" w:line="360" w:lineRule="auto"/>
        <w:ind w:left="0" w:leftChars="0" w:firstLine="420" w:firstLineChars="0"/>
        <w:textAlignment w:val="auto"/>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专硕教材建设</w:t>
      </w:r>
    </w:p>
    <w:p>
      <w:pPr>
        <w:pStyle w:val="11"/>
        <w:widowControl/>
        <w:spacing w:line="560" w:lineRule="exact"/>
        <w:ind w:firstLine="495" w:firstLineChars="177"/>
        <w:textAlignment w:val="baseline"/>
        <w:rPr>
          <w:rStyle w:val="10"/>
          <w:rFonts w:hint="eastAsia" w:ascii="仿宋" w:hAnsi="仿宋" w:eastAsia="仿宋" w:cs="仿宋"/>
          <w:sz w:val="28"/>
          <w:szCs w:val="28"/>
          <w:highlight w:val="none"/>
        </w:rPr>
      </w:pPr>
      <w:r>
        <w:rPr>
          <w:rStyle w:val="10"/>
          <w:rFonts w:hint="eastAsia" w:ascii="仿宋" w:hAnsi="仿宋" w:eastAsia="仿宋" w:cs="仿宋"/>
          <w:sz w:val="28"/>
          <w:szCs w:val="28"/>
          <w:highlight w:val="none"/>
        </w:rPr>
        <w:t>本项目在专硕教材建设方面，计划基于双一流经费支持，基于前期积攒的教学资料，集中对量化投资方向的几门主干课和技术课程组织教材编写工作。目前已经完成了《应用时间序列分析》的讲义整理工作，</w:t>
      </w:r>
      <w:r>
        <w:rPr>
          <w:rStyle w:val="10"/>
          <w:rFonts w:ascii="仿宋" w:hAnsi="仿宋" w:eastAsia="仿宋" w:cs="仿宋"/>
          <w:sz w:val="28"/>
          <w:szCs w:val="28"/>
          <w:highlight w:val="none"/>
        </w:rPr>
        <w:t>其他相关讲义的整理正在进行中。</w:t>
      </w:r>
    </w:p>
    <w:p>
      <w:pPr>
        <w:pStyle w:val="3"/>
        <w:keepNext/>
        <w:keepLines/>
        <w:pageBreakBefore w:val="0"/>
        <w:widowControl/>
        <w:numPr>
          <w:ilvl w:val="0"/>
          <w:numId w:val="2"/>
        </w:numPr>
        <w:kinsoku/>
        <w:wordWrap/>
        <w:overflowPunct/>
        <w:topLinePunct w:val="0"/>
        <w:autoSpaceDE/>
        <w:autoSpaceDN/>
        <w:bidi w:val="0"/>
        <w:adjustRightInd w:val="0"/>
        <w:snapToGrid w:val="0"/>
        <w:spacing w:before="156" w:beforeLines="50" w:line="360" w:lineRule="auto"/>
        <w:ind w:left="0" w:leftChars="0" w:firstLine="420" w:firstLineChars="0"/>
        <w:textAlignment w:val="auto"/>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学生心理问题疏导</w:t>
      </w:r>
    </w:p>
    <w:p>
      <w:pPr>
        <w:pStyle w:val="11"/>
        <w:keepNext w:val="0"/>
        <w:keepLines w:val="0"/>
        <w:pageBreakBefore w:val="0"/>
        <w:widowControl/>
        <w:kinsoku/>
        <w:wordWrap/>
        <w:overflowPunct/>
        <w:topLinePunct w:val="0"/>
        <w:autoSpaceDE/>
        <w:autoSpaceDN/>
        <w:bidi w:val="0"/>
        <w:adjustRightInd w:val="0"/>
        <w:snapToGrid w:val="0"/>
        <w:spacing w:line="560" w:lineRule="exact"/>
        <w:ind w:firstLine="495" w:firstLineChars="177"/>
        <w:textAlignment w:val="baseline"/>
        <w:rPr>
          <w:rStyle w:val="10"/>
          <w:rFonts w:ascii="仿宋" w:hAnsi="仿宋" w:eastAsia="仿宋" w:cs="仿宋"/>
          <w:sz w:val="28"/>
          <w:szCs w:val="28"/>
          <w:highlight w:val="none"/>
        </w:rPr>
      </w:pPr>
      <w:r>
        <w:rPr>
          <w:rStyle w:val="10"/>
          <w:rFonts w:hint="eastAsia" w:ascii="仿宋" w:hAnsi="仿宋" w:eastAsia="仿宋" w:cs="仿宋"/>
          <w:sz w:val="28"/>
          <w:szCs w:val="28"/>
          <w:highlight w:val="none"/>
        </w:rPr>
        <w:t>针对学生心理问题频发的现状，本项目依托建设学院成立了朋辈心理互助中心，并基于其组织专家讲座，学生分享等方式对共性问题进行疏导。通过组织广场舞，草坪歌会，体育比赛等各种校内活动，释放学生压抑的情绪，丰富业余生活。以往学院的讲座以学术类讲座和业界讲座为主。经过量化项目主任调研发现，虽然可以提升学生的专业素养，但是部分业界讲座也增加了学生的焦虑情绪。建议新增人文类型的讲座，让学生可以打开眼界和格局，提升内心的韧性。</w:t>
      </w:r>
    </w:p>
    <w:p>
      <w:pPr>
        <w:pStyle w:val="3"/>
        <w:keepNext/>
        <w:keepLines/>
        <w:pageBreakBefore w:val="0"/>
        <w:widowControl/>
        <w:numPr>
          <w:ilvl w:val="0"/>
          <w:numId w:val="2"/>
        </w:numPr>
        <w:kinsoku/>
        <w:wordWrap/>
        <w:overflowPunct/>
        <w:topLinePunct w:val="0"/>
        <w:autoSpaceDE/>
        <w:autoSpaceDN/>
        <w:bidi w:val="0"/>
        <w:adjustRightInd w:val="0"/>
        <w:snapToGrid w:val="0"/>
        <w:spacing w:before="156" w:beforeLines="50" w:line="360" w:lineRule="auto"/>
        <w:ind w:left="0" w:leftChars="0" w:firstLine="420" w:firstLineChars="0"/>
        <w:textAlignment w:val="auto"/>
        <w:rPr>
          <w:rStyle w:val="10"/>
          <w:rFonts w:ascii="仿宋" w:hAnsi="仿宋" w:eastAsia="仿宋" w:cs="仿宋"/>
          <w:b/>
          <w:bCs/>
          <w:color w:val="auto"/>
          <w:sz w:val="28"/>
          <w:szCs w:val="28"/>
          <w:highlight w:val="none"/>
        </w:rPr>
      </w:pPr>
      <w:r>
        <w:rPr>
          <w:rStyle w:val="10"/>
          <w:rFonts w:hint="eastAsia" w:ascii="仿宋" w:hAnsi="仿宋" w:eastAsia="仿宋" w:cs="仿宋"/>
          <w:b/>
          <w:bCs/>
          <w:color w:val="auto"/>
          <w:sz w:val="28"/>
          <w:szCs w:val="28"/>
          <w:highlight w:val="none"/>
        </w:rPr>
        <w:t>校外导师的维护与发展</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baseline"/>
        <w:rPr>
          <w:rStyle w:val="10"/>
          <w:rFonts w:ascii="仿宋" w:hAnsi="仿宋" w:eastAsia="仿宋"/>
          <w:szCs w:val="32"/>
        </w:rPr>
      </w:pPr>
      <w:r>
        <w:rPr>
          <w:rStyle w:val="10"/>
          <w:rFonts w:ascii="仿宋" w:hAnsi="仿宋" w:eastAsia="仿宋" w:cs="仿宋"/>
          <w:sz w:val="28"/>
          <w:szCs w:val="28"/>
          <w:highlight w:val="none"/>
        </w:rPr>
        <w:t>针对校外导师人数动态变化的问题，在当前政策环境下，本项目计划通过战略合作协议等方式积极引进引入市场化企业、没有行政级别的高管等充实外导队伍。此外，借助双一流经费支持，本项目尝试引进校外导师圆桌论坛，邀请校外导师和校内导师以当前经济金融热点话题为基础，展开圆桌讨论，一方面增强内外导师之间的联系，另一方面也给学生展示学界和业界思考问题的差异和融合。学习如何有效讨论，如何全面思考问题。</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36673-0545-4AA3-A894-BBB2DA6260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A4D08485-9128-452C-B8A7-6A2857131C11}"/>
  </w:font>
  <w:font w:name="方正小标宋简体">
    <w:panose1 w:val="02000000000000000000"/>
    <w:charset w:val="86"/>
    <w:family w:val="script"/>
    <w:pitch w:val="default"/>
    <w:sig w:usb0="00000001" w:usb1="08000000" w:usb2="00000000" w:usb3="00000000" w:csb0="00040000" w:csb1="00000000"/>
    <w:embedRegular r:id="rId3" w:fontKey="{2C9D6642-3C9B-43B6-9803-724BFB0DC46F}"/>
  </w:font>
  <w:font w:name="Wingdings 2">
    <w:panose1 w:val="05020102010507070707"/>
    <w:charset w:val="02"/>
    <w:family w:val="roman"/>
    <w:pitch w:val="default"/>
    <w:sig w:usb0="00000000" w:usb1="00000000" w:usb2="00000000" w:usb3="00000000" w:csb0="80000000" w:csb1="00000000"/>
    <w:embedRegular r:id="rId4" w:fontKey="{E8ACAF7F-511F-4A0A-96BD-71914699FED3}"/>
  </w:font>
  <w:font w:name="楷体_GB2312">
    <w:altName w:val="楷体"/>
    <w:panose1 w:val="02010609030101010101"/>
    <w:charset w:val="86"/>
    <w:family w:val="modern"/>
    <w:pitch w:val="default"/>
    <w:sig w:usb0="00000000" w:usb1="00000000" w:usb2="00000010" w:usb3="00000000" w:csb0="00040000" w:csb1="00000000"/>
    <w:embedRegular r:id="rId5" w:fontKey="{AF4F4F48-98AD-4F53-9853-CD23C2AB971C}"/>
  </w:font>
  <w:font w:name="华文楷体">
    <w:panose1 w:val="02010600040101010101"/>
    <w:charset w:val="86"/>
    <w:family w:val="auto"/>
    <w:pitch w:val="default"/>
    <w:sig w:usb0="00000287" w:usb1="080F0000" w:usb2="00000000" w:usb3="00000000" w:csb0="0004009F" w:csb1="DFD70000"/>
    <w:embedRegular r:id="rId6" w:fontKey="{A5152AE3-EF32-474A-979B-0BA5E7A11AB9}"/>
  </w:font>
  <w:font w:name="仿宋_GB2312">
    <w:altName w:val="仿宋"/>
    <w:panose1 w:val="02010609030101010101"/>
    <w:charset w:val="86"/>
    <w:family w:val="modern"/>
    <w:pitch w:val="default"/>
    <w:sig w:usb0="00000000" w:usb1="00000000" w:usb2="00000010" w:usb3="00000000" w:csb0="00040000" w:csb1="00000000"/>
    <w:embedRegular r:id="rId7" w:fontKey="{97A65E8C-B58F-4217-85E6-018A89C639A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textAlignment w:val="baseline"/>
      <w:rPr>
        <w:rStyle w:val="10"/>
        <w:rFonts w:ascii="Times New Roman" w:hAnsi="Times New Roman" w:eastAsia="宋体"/>
        <w:sz w:val="18"/>
        <w:szCs w:val="18"/>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- 21 -</w:t>
                    </w:r>
                    <w:r>
                      <w:rPr>
                        <w:rFonts w:ascii="宋体" w:hAnsi="宋体"/>
                        <w:sz w:val="28"/>
                        <w:szCs w:val="28"/>
                      </w:rPr>
                      <w:fldChar w:fldCharType="end"/>
                    </w:r>
                  </w:p>
                </w:txbxContent>
              </v:textbox>
            </v:shape>
          </w:pict>
        </mc:Fallback>
      </mc:AlternateContent>
    </w:r>
    <w:r>
      <w:rPr>
        <w:rStyle w:val="10"/>
        <w:rFonts w:ascii="Times New Roman" w:hAnsi="Times New Roman"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widowControl/>
                            <w:jc w:val="both"/>
                            <w:textAlignment w:val="baseline"/>
                            <w:rPr>
                              <w:rStyle w:val="10"/>
                              <w:rFonts w:ascii="Times New Roman" w:hAnsi="Times New Roman" w:eastAsia="宋体"/>
                              <w:sz w:val="20"/>
                              <w:szCs w:val="18"/>
                            </w:rPr>
                          </w:pPr>
                        </w:p>
                        <w:p>
                          <w:pPr>
                            <w:textAlignment w:val="baseline"/>
                            <w:rPr>
                              <w:rStyle w:val="10"/>
                              <w:rFonts w:ascii="Times New Roman" w:hAnsi="Times New Roman" w:eastAsia="宋体"/>
                              <w:sz w:val="21"/>
                            </w:rPr>
                          </w:pPr>
                        </w:p>
                      </w:txbxContent>
                    </wps:txbx>
                    <wps:bodyPr lIns="0" tIns="0" rIns="0" bIns="0" upright="1"/>
                  </wps:wsp>
                </a:graphicData>
              </a:graphic>
            </wp:anchor>
          </w:drawing>
        </mc:Choice>
        <mc:Fallback>
          <w:pict>
            <v:shape id="_x0000_s1026" o:spid="_x0000_s1026" o:spt="202" type="#_x0000_t202" style="position:absolute;left:0pt;margin-top:0.65pt;height:144pt;width:144pt;mso-position-horizontal:center;mso-position-horizontal-relative:margin;z-index:251660288;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HqllNUAAAAGAQAADwAAAAAAAAABACAAAAAiAAAAZHJzL2Rvd25yZXYueG1s&#10;UEsBAhQAFAAAAAgAh07iQI4bhWPCAQAAjQMAAA4AAAAAAAAAAQAgAAAAJAEAAGRycy9lMm9Eb2Mu&#10;eG1sUEsFBgAAAAAGAAYAWQEAAFgFAAAAAA==&#10;">
              <v:fill on="f" focussize="0,0"/>
              <v:stroke on="f" weight="1.25pt"/>
              <v:imagedata o:title=""/>
              <o:lock v:ext="edit" aspectratio="f"/>
              <v:textbox inset="0mm,0mm,0mm,0mm">
                <w:txbxContent>
                  <w:p>
                    <w:pPr>
                      <w:pStyle w:val="5"/>
                      <w:widowControl/>
                      <w:jc w:val="both"/>
                      <w:textAlignment w:val="baseline"/>
                      <w:rPr>
                        <w:rStyle w:val="10"/>
                        <w:rFonts w:ascii="Times New Roman" w:hAnsi="Times New Roman" w:eastAsia="宋体"/>
                        <w:sz w:val="20"/>
                        <w:szCs w:val="18"/>
                      </w:rPr>
                    </w:pPr>
                  </w:p>
                  <w:p>
                    <w:pPr>
                      <w:textAlignment w:val="baseline"/>
                      <w:rPr>
                        <w:rStyle w:val="10"/>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center"/>
      <w:textAlignment w:val="baseline"/>
      <w:rPr>
        <w:rStyle w:val="10"/>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- 23 -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- 23 -</w:t>
                    </w:r>
                    <w:r>
                      <w:rPr>
                        <w:rFonts w:ascii="宋体" w:hAnsi="宋体"/>
                        <w:sz w:val="28"/>
                        <w:szCs w:val="28"/>
                      </w:rPr>
                      <w:fldChar w:fldCharType="end"/>
                    </w:r>
                  </w:p>
                </w:txbxContent>
              </v:textbox>
            </v:shape>
          </w:pict>
        </mc:Fallback>
      </mc:AlternateContent>
    </w:r>
  </w:p>
  <w:p>
    <w:pPr>
      <w:pStyle w:val="5"/>
      <w:widowControl/>
      <w:jc w:val="center"/>
      <w:textAlignment w:val="baseline"/>
      <w:rPr>
        <w:rStyle w:val="10"/>
        <w:rFonts w:ascii="Times New Roman" w:hAnsi="Times New Roman" w:eastAsia="宋体"/>
        <w:sz w:val="28"/>
        <w:szCs w:val="28"/>
      </w:rPr>
    </w:pPr>
    <w:r>
      <w:rPr>
        <w:rStyle w:val="10"/>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widowControl/>
                            <w:jc w:val="center"/>
                            <w:textAlignment w:val="baseline"/>
                            <w:rPr>
                              <w:rStyle w:val="10"/>
                              <w:rFonts w:ascii="仿宋_GB2312" w:hAnsi="仿宋_GB2312" w:eastAsia="仿宋_GB2312"/>
                              <w:sz w:val="28"/>
                              <w:szCs w:val="28"/>
                            </w:rPr>
                          </w:pPr>
                        </w:p>
                        <w:p>
                          <w:pPr>
                            <w:textAlignment w:val="baseline"/>
                            <w:rPr>
                              <w:rStyle w:val="10"/>
                              <w:rFonts w:ascii="Times New Roman" w:hAnsi="Times New Roman" w:eastAsia="宋体"/>
                              <w:sz w:val="21"/>
                            </w:rPr>
                          </w:pPr>
                        </w:p>
                      </w:txbxContent>
                    </wps:txbx>
                    <wps:bodyPr lIns="0" tIns="0" rIns="0" bIns="0" anchor="t" anchorCtr="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3u45fSAAAABQEAAA8AAAAAAAAAAQAgAAAAIgAAAGRycy9k&#10;b3ducmV2LnhtbFBLAQIUABQAAAAIAIdO4kCblj/VzwEAAKQDAAAOAAAAAAAAAAEAIAAAACEBAABk&#10;cnMvZTJvRG9jLnhtbFBLBQYAAAAABgAGAFkBAABiBQAAAAA=&#10;">
              <v:fill on="f" focussize="0,0"/>
              <v:stroke on="f" weight="1.25pt"/>
              <v:imagedata o:title=""/>
              <o:lock v:ext="edit" aspectratio="f"/>
              <v:textbox inset="0mm,0mm,0mm,0mm">
                <w:txbxContent>
                  <w:p>
                    <w:pPr>
                      <w:pStyle w:val="5"/>
                      <w:widowControl/>
                      <w:jc w:val="center"/>
                      <w:textAlignment w:val="baseline"/>
                      <w:rPr>
                        <w:rStyle w:val="10"/>
                        <w:rFonts w:ascii="仿宋_GB2312" w:hAnsi="仿宋_GB2312" w:eastAsia="仿宋_GB2312"/>
                        <w:sz w:val="28"/>
                        <w:szCs w:val="28"/>
                      </w:rPr>
                    </w:pPr>
                  </w:p>
                  <w:p>
                    <w:pPr>
                      <w:textAlignment w:val="baseline"/>
                      <w:rPr>
                        <w:rStyle w:val="10"/>
                        <w:rFonts w:ascii="Times New Roman" w:hAnsi="Times New Roman" w:eastAsia="宋体"/>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7F7D2"/>
    <w:multiLevelType w:val="singleLevel"/>
    <w:tmpl w:val="02A7F7D2"/>
    <w:lvl w:ilvl="0" w:tentative="0">
      <w:start w:val="1"/>
      <w:numFmt w:val="chineseCounting"/>
      <w:suff w:val="nothing"/>
      <w:lvlText w:val="（%1）"/>
      <w:lvlJc w:val="left"/>
      <w:pPr>
        <w:ind w:left="0" w:firstLine="420"/>
      </w:pPr>
      <w:rPr>
        <w:rFonts w:hint="eastAsia"/>
      </w:rPr>
    </w:lvl>
  </w:abstractNum>
  <w:abstractNum w:abstractNumId="1">
    <w:nsid w:val="27731A1B"/>
    <w:multiLevelType w:val="multilevel"/>
    <w:tmpl w:val="27731A1B"/>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ZGZmNDZhMzEwZjU5N2M2ZjZiOTJmOTg5ZDU0OTQifQ=="/>
  </w:docVars>
  <w:rsids>
    <w:rsidRoot w:val="40996205"/>
    <w:rsid w:val="000C0061"/>
    <w:rsid w:val="000E6648"/>
    <w:rsid w:val="00106F59"/>
    <w:rsid w:val="00107B27"/>
    <w:rsid w:val="00114B63"/>
    <w:rsid w:val="001A2E94"/>
    <w:rsid w:val="001A792E"/>
    <w:rsid w:val="00215362"/>
    <w:rsid w:val="00223568"/>
    <w:rsid w:val="002A5CCB"/>
    <w:rsid w:val="003B4AB7"/>
    <w:rsid w:val="003D5970"/>
    <w:rsid w:val="003E1DD6"/>
    <w:rsid w:val="003F7B0B"/>
    <w:rsid w:val="0058685C"/>
    <w:rsid w:val="00651A0F"/>
    <w:rsid w:val="006F12CB"/>
    <w:rsid w:val="0071236E"/>
    <w:rsid w:val="007159A3"/>
    <w:rsid w:val="007653A9"/>
    <w:rsid w:val="007666BC"/>
    <w:rsid w:val="0079563A"/>
    <w:rsid w:val="00872BCF"/>
    <w:rsid w:val="008D2151"/>
    <w:rsid w:val="008E1B67"/>
    <w:rsid w:val="0096219F"/>
    <w:rsid w:val="00972794"/>
    <w:rsid w:val="009839A9"/>
    <w:rsid w:val="009F0715"/>
    <w:rsid w:val="00B04BA5"/>
    <w:rsid w:val="00B25FE7"/>
    <w:rsid w:val="00B60CE4"/>
    <w:rsid w:val="00B904FF"/>
    <w:rsid w:val="00BC7AE7"/>
    <w:rsid w:val="00D03B98"/>
    <w:rsid w:val="00D45B51"/>
    <w:rsid w:val="00DD6AA8"/>
    <w:rsid w:val="00E1471E"/>
    <w:rsid w:val="00E95BEB"/>
    <w:rsid w:val="00F13D3E"/>
    <w:rsid w:val="00F15600"/>
    <w:rsid w:val="00F7407B"/>
    <w:rsid w:val="00FA5199"/>
    <w:rsid w:val="01833FED"/>
    <w:rsid w:val="0204245C"/>
    <w:rsid w:val="07B13BB2"/>
    <w:rsid w:val="082D0DDC"/>
    <w:rsid w:val="08DF73A4"/>
    <w:rsid w:val="092F6620"/>
    <w:rsid w:val="09C56195"/>
    <w:rsid w:val="0AF21185"/>
    <w:rsid w:val="0C180F68"/>
    <w:rsid w:val="0CA971D2"/>
    <w:rsid w:val="0D223618"/>
    <w:rsid w:val="0DC25720"/>
    <w:rsid w:val="0E5378BC"/>
    <w:rsid w:val="0F163415"/>
    <w:rsid w:val="0F703B0B"/>
    <w:rsid w:val="1035205D"/>
    <w:rsid w:val="10F468BD"/>
    <w:rsid w:val="119D1FC5"/>
    <w:rsid w:val="11EC3A38"/>
    <w:rsid w:val="12C02EFB"/>
    <w:rsid w:val="13F13CC6"/>
    <w:rsid w:val="146B50E8"/>
    <w:rsid w:val="14763F1F"/>
    <w:rsid w:val="1610623E"/>
    <w:rsid w:val="1B610FF3"/>
    <w:rsid w:val="1CE16217"/>
    <w:rsid w:val="1F117B06"/>
    <w:rsid w:val="2185616B"/>
    <w:rsid w:val="218D7345"/>
    <w:rsid w:val="21991BAE"/>
    <w:rsid w:val="224947E7"/>
    <w:rsid w:val="253A41A3"/>
    <w:rsid w:val="25B65CEB"/>
    <w:rsid w:val="28AB47F1"/>
    <w:rsid w:val="298365D8"/>
    <w:rsid w:val="2B88520A"/>
    <w:rsid w:val="2BA20325"/>
    <w:rsid w:val="2C0A350E"/>
    <w:rsid w:val="2D853E99"/>
    <w:rsid w:val="2E5E3A03"/>
    <w:rsid w:val="30330FFC"/>
    <w:rsid w:val="31411FEA"/>
    <w:rsid w:val="3151474E"/>
    <w:rsid w:val="31C54E98"/>
    <w:rsid w:val="341E7746"/>
    <w:rsid w:val="394672B1"/>
    <w:rsid w:val="39A03D29"/>
    <w:rsid w:val="39B448A6"/>
    <w:rsid w:val="3BC85B12"/>
    <w:rsid w:val="3C224958"/>
    <w:rsid w:val="3D421C50"/>
    <w:rsid w:val="3D805ADE"/>
    <w:rsid w:val="3E761EF9"/>
    <w:rsid w:val="3F9D6F75"/>
    <w:rsid w:val="40996205"/>
    <w:rsid w:val="419062DC"/>
    <w:rsid w:val="42C5204E"/>
    <w:rsid w:val="430E37EA"/>
    <w:rsid w:val="449C4CC6"/>
    <w:rsid w:val="44EF003D"/>
    <w:rsid w:val="4528655A"/>
    <w:rsid w:val="4559180C"/>
    <w:rsid w:val="46050528"/>
    <w:rsid w:val="46CD4E75"/>
    <w:rsid w:val="479B7487"/>
    <w:rsid w:val="47E2567D"/>
    <w:rsid w:val="48274AEC"/>
    <w:rsid w:val="48CD3E24"/>
    <w:rsid w:val="494D4D8B"/>
    <w:rsid w:val="4AE31B9F"/>
    <w:rsid w:val="4ED85B48"/>
    <w:rsid w:val="50473843"/>
    <w:rsid w:val="513232C6"/>
    <w:rsid w:val="55D903ED"/>
    <w:rsid w:val="55E03165"/>
    <w:rsid w:val="55F01A8B"/>
    <w:rsid w:val="571B4AF5"/>
    <w:rsid w:val="59AC5A01"/>
    <w:rsid w:val="5A8722D4"/>
    <w:rsid w:val="5B780C22"/>
    <w:rsid w:val="5B8B6B3E"/>
    <w:rsid w:val="5C7779C1"/>
    <w:rsid w:val="5C7E0FE2"/>
    <w:rsid w:val="61AD1FCB"/>
    <w:rsid w:val="63DC7C3A"/>
    <w:rsid w:val="64440614"/>
    <w:rsid w:val="64E42A92"/>
    <w:rsid w:val="650414C0"/>
    <w:rsid w:val="6598383A"/>
    <w:rsid w:val="65E1486C"/>
    <w:rsid w:val="676F4B55"/>
    <w:rsid w:val="68E53982"/>
    <w:rsid w:val="6A5269FC"/>
    <w:rsid w:val="6C4C747C"/>
    <w:rsid w:val="70C81183"/>
    <w:rsid w:val="71353C29"/>
    <w:rsid w:val="72276EAD"/>
    <w:rsid w:val="740A456F"/>
    <w:rsid w:val="74E62C58"/>
    <w:rsid w:val="759365F4"/>
    <w:rsid w:val="78151CD1"/>
    <w:rsid w:val="79257D62"/>
    <w:rsid w:val="7982592F"/>
    <w:rsid w:val="79C14E50"/>
    <w:rsid w:val="7CEA207E"/>
    <w:rsid w:val="7D5853D6"/>
    <w:rsid w:val="7DD467B5"/>
    <w:rsid w:val="7F43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40"/>
      <w:outlineLvl w:val="0"/>
    </w:pPr>
    <w:rPr>
      <w:rFonts w:ascii="Calibri Light" w:hAnsi="Calibri Light" w:eastAsia="宋体" w:cs="Times New Roman"/>
      <w:color w:val="2E74B5"/>
      <w:sz w:val="32"/>
      <w:szCs w:val="32"/>
    </w:rPr>
  </w:style>
  <w:style w:type="paragraph" w:styleId="3">
    <w:name w:val="heading 2"/>
    <w:basedOn w:val="1"/>
    <w:next w:val="1"/>
    <w:unhideWhenUsed/>
    <w:qFormat/>
    <w:uiPriority w:val="0"/>
    <w:pPr>
      <w:keepNext/>
      <w:keepLines/>
      <w:spacing w:before="40"/>
      <w:outlineLvl w:val="1"/>
    </w:pPr>
    <w:rPr>
      <w:rFonts w:ascii="Calibri Light" w:hAnsi="Calibri Light" w:eastAsia="宋体" w:cs="Times New Roman"/>
      <w:color w:val="2E74B5"/>
      <w:sz w:val="26"/>
      <w:szCs w:val="26"/>
    </w:rPr>
  </w:style>
  <w:style w:type="paragraph" w:styleId="4">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NormalCharacter"/>
    <w:basedOn w:val="9"/>
    <w:semiHidden/>
    <w:qFormat/>
    <w:uiPriority w:val="0"/>
    <w:rPr>
      <w:rFonts w:ascii="Calibri" w:hAnsi="Calibri" w:eastAsia="方正仿宋简体" w:cs="Times New Roman"/>
      <w:kern w:val="2"/>
      <w:sz w:val="32"/>
      <w:szCs w:val="24"/>
      <w:lang w:val="en-US" w:eastAsia="zh-CN" w:bidi="ar-SA"/>
    </w:rPr>
  </w:style>
  <w:style w:type="paragraph" w:styleId="11">
    <w:name w:val="List Paragraph"/>
    <w:basedOn w:val="1"/>
    <w:qFormat/>
    <w:uiPriority w:val="99"/>
    <w:pPr>
      <w:ind w:firstLine="420" w:firstLineChars="200"/>
    </w:pPr>
  </w:style>
  <w:style w:type="character" w:customStyle="1" w:styleId="12">
    <w:name w:val="页眉 字符"/>
    <w:basedOn w:val="9"/>
    <w:link w:val="6"/>
    <w:qFormat/>
    <w:uiPriority w:val="0"/>
    <w:rPr>
      <w:rFonts w:ascii="Calibri" w:hAnsi="Calibri" w:eastAsia="宋体" w:cs="Times New Roman"/>
      <w:kern w:val="2"/>
      <w:sz w:val="18"/>
      <w:szCs w:val="18"/>
    </w:rPr>
  </w:style>
  <w:style w:type="character" w:customStyle="1" w:styleId="13">
    <w:name w:val="font11"/>
    <w:basedOn w:val="9"/>
    <w:qFormat/>
    <w:uiPriority w:val="0"/>
    <w:rPr>
      <w:rFonts w:hint="eastAsia" w:ascii="仿宋" w:hAnsi="仿宋" w:eastAsia="仿宋" w:cs="仿宋"/>
      <w:color w:val="000000"/>
      <w:sz w:val="22"/>
      <w:szCs w:val="22"/>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117</Words>
  <Characters>667</Characters>
  <Lines>5</Lines>
  <Paragraphs>1</Paragraphs>
  <TotalTime>59</TotalTime>
  <ScaleCrop>false</ScaleCrop>
  <LinksUpToDate>false</LinksUpToDate>
  <CharactersWithSpaces>783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2021-09-28T05:16:00Z</dcterms:created>
  <dc:creator>茫茫兔</dc:creator>
  <cp:lastModifiedBy>纸酸</cp:lastModifiedBy>
  <cp:lastPrinted>2024-03-25T08:11:00Z</cp:lastPrinted>
  <dcterms:modified xsi:type="dcterms:W3CDTF">2024-03-29T03:19:18Z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FD59DBE35AA04B6281FC6A975D134BA1_13</vt:lpwstr>
  </property>
</Properties>
</file>